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7DE93F50" w:rsidR="00420A38" w:rsidRPr="007A395D" w:rsidRDefault="00420A38" w:rsidP="000049D8">
      <w:pPr>
        <w:pStyle w:val="Header"/>
        <w:tabs>
          <w:tab w:val="clear" w:pos="9639"/>
          <w:tab w:val="right" w:pos="5954"/>
        </w:tabs>
        <w:spacing w:after="240"/>
        <w:jc w:val="right"/>
        <w:rPr>
          <w:rFonts w:ascii="Calibri" w:hAnsi="Calibri"/>
          <w:lang w:eastAsia="ja-JP"/>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C20245" w:rsidRPr="00C20245">
        <w:rPr>
          <w:rFonts w:ascii="Calibri" w:hAnsi="Calibri"/>
        </w:rPr>
        <w:t>DTEC4-6.2.0.9</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3092B460"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DF25EC"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34611C">
        <w:rPr>
          <w:rFonts w:ascii="Calibri" w:hAnsi="Calibri" w:cs="Arial" w:hint="eastAsia"/>
          <w:sz w:val="24"/>
          <w:szCs w:val="24"/>
          <w:lang w:eastAsia="ja-JP"/>
        </w:rPr>
        <w:t>X</w:t>
      </w:r>
      <w:r w:rsidRPr="007A395D">
        <w:rPr>
          <w:rFonts w:ascii="Calibri" w:hAnsi="Calibri" w:cs="Arial"/>
          <w:sz w:val="24"/>
          <w:szCs w:val="24"/>
        </w:rPr>
        <w:t xml:space="preserve">  Input</w:t>
      </w:r>
    </w:p>
    <w:p w14:paraId="0BC79547" w14:textId="31D3DE58" w:rsidR="0080294B" w:rsidRPr="007A395D" w:rsidRDefault="00DF25EC" w:rsidP="00037DF4">
      <w:pPr>
        <w:pStyle w:val="BodyText"/>
        <w:tabs>
          <w:tab w:val="left" w:pos="1843"/>
        </w:tabs>
        <w:rPr>
          <w:rFonts w:ascii="Calibri" w:hAnsi="Calibri"/>
        </w:rPr>
      </w:pPr>
      <w:r>
        <w:rPr>
          <w:rFonts w:ascii="Calibri" w:hAnsi="Calibri" w:cs="Arial"/>
        </w:rPr>
        <w:t>X</w:t>
      </w:r>
      <w:r w:rsidR="0080294B" w:rsidRPr="007A395D">
        <w:rPr>
          <w:rFonts w:ascii="Calibri" w:hAnsi="Calibri" w:cs="Arial"/>
          <w:sz w:val="24"/>
          <w:szCs w:val="24"/>
        </w:rPr>
        <w:t xml:space="preserve">  </w:t>
      </w:r>
      <w:r w:rsidR="00B61923">
        <w:rPr>
          <w:rFonts w:ascii="Calibri" w:hAnsi="Calibri" w:cs="Arial"/>
        </w:rPr>
        <w:t>DTEC</w:t>
      </w:r>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54C2A52A"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1"/>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C20245">
        <w:rPr>
          <w:rFonts w:ascii="Calibri" w:hAnsi="Calibri"/>
        </w:rPr>
        <w:t>6</w:t>
      </w:r>
      <w:r w:rsidR="0080294B" w:rsidRPr="007A395D">
        <w:rPr>
          <w:rFonts w:ascii="Calibri" w:hAnsi="Calibri"/>
        </w:rPr>
        <w:t>.</w:t>
      </w:r>
      <w:r w:rsidR="00C20245">
        <w:rPr>
          <w:rFonts w:ascii="Calibri" w:hAnsi="Calibri"/>
        </w:rPr>
        <w:t>2</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3C51FF7E" w:rsidR="00362CD9" w:rsidRPr="007A395D" w:rsidRDefault="00362CD9" w:rsidP="00FE5674">
      <w:pPr>
        <w:pStyle w:val="BodyText"/>
        <w:tabs>
          <w:tab w:val="left" w:pos="2835"/>
        </w:tabs>
        <w:rPr>
          <w:rFonts w:ascii="Calibri" w:hAnsi="Calibri"/>
          <w:color w:val="FF0000"/>
          <w:lang w:eastAsia="ja-JP"/>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4611C">
        <w:rPr>
          <w:rFonts w:ascii="Calibri" w:hAnsi="Calibri" w:hint="eastAsia"/>
          <w:lang w:eastAsia="ja-JP"/>
        </w:rPr>
        <w:t>Hideki Noguchi, Coordinator, IMO NCSR CG on VDES</w:t>
      </w:r>
    </w:p>
    <w:p w14:paraId="60BCC120" w14:textId="77777777" w:rsidR="0080294B" w:rsidRPr="007A395D" w:rsidRDefault="0080294B" w:rsidP="00FE5674">
      <w:pPr>
        <w:pStyle w:val="BodyText"/>
        <w:tabs>
          <w:tab w:val="left" w:pos="2835"/>
        </w:tabs>
        <w:rPr>
          <w:rFonts w:ascii="Calibri" w:hAnsi="Calibri"/>
        </w:rPr>
      </w:pPr>
    </w:p>
    <w:p w14:paraId="4834080C" w14:textId="1D099E4D" w:rsidR="00A446C9" w:rsidRPr="00605E43" w:rsidRDefault="0034611C" w:rsidP="00A446C9">
      <w:pPr>
        <w:pStyle w:val="Title"/>
        <w:rPr>
          <w:rFonts w:ascii="Calibri" w:hAnsi="Calibri"/>
          <w:color w:val="0070C0"/>
        </w:rPr>
      </w:pPr>
      <w:r>
        <w:rPr>
          <w:rFonts w:ascii="Calibri" w:hAnsi="Calibri" w:hint="eastAsia"/>
          <w:color w:val="0070C0"/>
          <w:lang w:eastAsia="ja-JP"/>
        </w:rPr>
        <w:t xml:space="preserve">VDES </w:t>
      </w:r>
      <w:r w:rsidR="00987DF2">
        <w:rPr>
          <w:rFonts w:ascii="Calibri" w:hAnsi="Calibri" w:hint="eastAsia"/>
          <w:color w:val="0070C0"/>
          <w:lang w:eastAsia="ja-JP"/>
        </w:rPr>
        <w:t>c</w:t>
      </w:r>
      <w:r>
        <w:rPr>
          <w:rFonts w:ascii="Calibri" w:hAnsi="Calibri"/>
          <w:color w:val="0070C0"/>
          <w:lang w:eastAsia="ja-JP"/>
        </w:rPr>
        <w:t>orrespondence</w:t>
      </w:r>
      <w:r>
        <w:rPr>
          <w:rFonts w:ascii="Calibri" w:hAnsi="Calibri" w:hint="eastAsia"/>
          <w:color w:val="0070C0"/>
          <w:lang w:eastAsia="ja-JP"/>
        </w:rPr>
        <w:t xml:space="preserve"> </w:t>
      </w:r>
      <w:r w:rsidR="00987DF2">
        <w:rPr>
          <w:rFonts w:ascii="Calibri" w:hAnsi="Calibri" w:hint="eastAsia"/>
          <w:color w:val="0070C0"/>
          <w:lang w:eastAsia="ja-JP"/>
        </w:rPr>
        <w:t>g</w:t>
      </w:r>
      <w:r>
        <w:rPr>
          <w:rFonts w:ascii="Calibri" w:hAnsi="Calibri" w:hint="eastAsia"/>
          <w:color w:val="0070C0"/>
          <w:lang w:eastAsia="ja-JP"/>
        </w:rPr>
        <w:t>roup report to NCSR 12</w:t>
      </w:r>
    </w:p>
    <w:p w14:paraId="0F258596" w14:textId="7D6C1B32" w:rsidR="00A446C9" w:rsidRPr="00605E43" w:rsidRDefault="0063268D" w:rsidP="00605E43">
      <w:pPr>
        <w:pStyle w:val="Heading1"/>
      </w:pPr>
      <w:r>
        <w:rPr>
          <w:rFonts w:hint="eastAsia"/>
          <w:lang w:eastAsia="ja-JP"/>
        </w:rPr>
        <w:t>Background</w:t>
      </w:r>
    </w:p>
    <w:p w14:paraId="5432CFB6" w14:textId="3BC18657" w:rsidR="00B56BDF" w:rsidRPr="007A395D" w:rsidRDefault="00987DF2" w:rsidP="00B56BDF">
      <w:pPr>
        <w:pStyle w:val="BodyText"/>
        <w:rPr>
          <w:rFonts w:ascii="Calibri" w:hAnsi="Calibri"/>
          <w:lang w:eastAsia="ja-JP"/>
        </w:rPr>
      </w:pPr>
      <w:r>
        <w:rPr>
          <w:rFonts w:ascii="Calibri" w:hAnsi="Calibri" w:hint="eastAsia"/>
          <w:lang w:eastAsia="ja-JP"/>
        </w:rPr>
        <w:t>At its 11</w:t>
      </w:r>
      <w:r w:rsidRPr="00987DF2">
        <w:rPr>
          <w:rFonts w:ascii="Calibri" w:hAnsi="Calibri" w:hint="eastAsia"/>
          <w:vertAlign w:val="superscript"/>
          <w:lang w:eastAsia="ja-JP"/>
        </w:rPr>
        <w:t>th</w:t>
      </w:r>
      <w:r>
        <w:rPr>
          <w:rFonts w:ascii="Calibri" w:hAnsi="Calibri" w:hint="eastAsia"/>
          <w:lang w:eastAsia="ja-JP"/>
        </w:rPr>
        <w:t xml:space="preserve"> session, the IMO NCSR S</w:t>
      </w:r>
      <w:r>
        <w:rPr>
          <w:rFonts w:ascii="Calibri" w:hAnsi="Calibri"/>
          <w:lang w:eastAsia="ja-JP"/>
        </w:rPr>
        <w:t>u</w:t>
      </w:r>
      <w:r>
        <w:rPr>
          <w:rFonts w:ascii="Calibri" w:hAnsi="Calibri" w:hint="eastAsia"/>
          <w:lang w:eastAsia="ja-JP"/>
        </w:rPr>
        <w:t>b-Committee agreed to re-establish the correspondence group on VDES under the coordination of Japan and to ask MSC to extend target completion year for one year</w:t>
      </w:r>
      <w:r w:rsidR="0086654F" w:rsidRPr="007A395D">
        <w:rPr>
          <w:rFonts w:ascii="Calibri" w:hAnsi="Calibri"/>
        </w:rPr>
        <w:t>.</w:t>
      </w:r>
      <w:r>
        <w:rPr>
          <w:rFonts w:ascii="Calibri" w:hAnsi="Calibri" w:hint="eastAsia"/>
          <w:lang w:eastAsia="ja-JP"/>
        </w:rPr>
        <w:t xml:space="preserve"> The correspondence group developed the draft amendments to SOLAS, the draft performance standards of VDES, the draft guidelines on the use of VDES. In addition, the correspondence group identified many IMO instruments both mandatory and nonmandatory that need the consequential amendments due to introduction of VDES into SOLAS</w:t>
      </w:r>
      <w:r w:rsidR="004A6751">
        <w:rPr>
          <w:rFonts w:ascii="Calibri" w:hAnsi="Calibri" w:hint="eastAsia"/>
          <w:lang w:eastAsia="ja-JP"/>
        </w:rPr>
        <w:t xml:space="preserve"> and developed the draft amendments</w:t>
      </w:r>
      <w:r>
        <w:rPr>
          <w:rFonts w:ascii="Calibri" w:hAnsi="Calibri" w:hint="eastAsia"/>
          <w:lang w:eastAsia="ja-JP"/>
        </w:rPr>
        <w:t>. The correspondence group submitted the report to NSCR12 held in May 2025 as attached.</w:t>
      </w:r>
    </w:p>
    <w:p w14:paraId="041E9135" w14:textId="77777777" w:rsidR="00A446C9" w:rsidRPr="007A395D" w:rsidRDefault="00A446C9" w:rsidP="00605E43">
      <w:pPr>
        <w:pStyle w:val="Heading1"/>
      </w:pPr>
      <w:r w:rsidRPr="007A395D">
        <w:t>Discussion</w:t>
      </w:r>
    </w:p>
    <w:p w14:paraId="687058B8" w14:textId="77777777" w:rsidR="004A6751" w:rsidRDefault="004A6751" w:rsidP="00A446C9">
      <w:pPr>
        <w:pStyle w:val="BodyText"/>
        <w:rPr>
          <w:rFonts w:ascii="Calibri" w:hAnsi="Calibri"/>
        </w:rPr>
      </w:pPr>
      <w:r>
        <w:rPr>
          <w:rFonts w:ascii="Calibri" w:hAnsi="Calibri" w:hint="eastAsia"/>
          <w:lang w:eastAsia="ja-JP"/>
        </w:rPr>
        <w:t xml:space="preserve">The correspondence group identified the </w:t>
      </w:r>
      <w:r>
        <w:rPr>
          <w:rFonts w:ascii="Calibri" w:hAnsi="Calibri"/>
          <w:lang w:eastAsia="ja-JP"/>
        </w:rPr>
        <w:t>following</w:t>
      </w:r>
      <w:r>
        <w:rPr>
          <w:rFonts w:ascii="Calibri" w:hAnsi="Calibri" w:hint="eastAsia"/>
          <w:lang w:eastAsia="ja-JP"/>
        </w:rPr>
        <w:t xml:space="preserve"> instruments needed the consequential amendments</w:t>
      </w:r>
      <w:r w:rsidR="00F25BF4" w:rsidRPr="007A395D">
        <w:rPr>
          <w:rFonts w:ascii="Calibri" w:hAnsi="Calibri"/>
        </w:rPr>
        <w:t>.</w:t>
      </w:r>
    </w:p>
    <w:p w14:paraId="14A6413F" w14:textId="77777777" w:rsidR="004A6751" w:rsidRDefault="004A6751" w:rsidP="00A446C9">
      <w:pPr>
        <w:pStyle w:val="BodyText"/>
        <w:rPr>
          <w:rFonts w:ascii="Calibri" w:hAnsi="Calibri"/>
        </w:rPr>
      </w:pPr>
    </w:p>
    <w:p w14:paraId="04BB4796" w14:textId="77777777" w:rsidR="004A6751" w:rsidRPr="0079449D" w:rsidRDefault="004A6751" w:rsidP="004A6751">
      <w:pPr>
        <w:pStyle w:val="ListParagraph"/>
        <w:numPr>
          <w:ilvl w:val="0"/>
          <w:numId w:val="45"/>
        </w:numPr>
        <w:contextualSpacing w:val="0"/>
        <w:rPr>
          <w:b/>
          <w:bCs/>
          <w:i/>
          <w:iCs/>
          <w:lang w:eastAsia="ja-JP"/>
        </w:rPr>
      </w:pPr>
      <w:r>
        <w:rPr>
          <w:rFonts w:hint="eastAsia"/>
          <w:b/>
          <w:bCs/>
          <w:i/>
          <w:iCs/>
          <w:lang w:eastAsia="ja-JP"/>
        </w:rPr>
        <w:t>Draft amendments to m</w:t>
      </w:r>
      <w:r w:rsidRPr="0079449D">
        <w:rPr>
          <w:rFonts w:hint="eastAsia"/>
          <w:b/>
          <w:bCs/>
          <w:i/>
          <w:iCs/>
          <w:lang w:eastAsia="ja-JP"/>
        </w:rPr>
        <w:t>andatory instruments</w:t>
      </w:r>
    </w:p>
    <w:p w14:paraId="1FB5FF7D" w14:textId="77777777" w:rsidR="004A6751" w:rsidRDefault="004A6751" w:rsidP="004A6751">
      <w:pPr>
        <w:rPr>
          <w:lang w:eastAsia="ja-JP"/>
        </w:rPr>
      </w:pPr>
    </w:p>
    <w:p w14:paraId="24172884" w14:textId="5427AFF6" w:rsidR="004A6751" w:rsidRDefault="004A6751" w:rsidP="004A6751">
      <w:pPr>
        <w:pStyle w:val="ListParagraph"/>
        <w:numPr>
          <w:ilvl w:val="0"/>
          <w:numId w:val="46"/>
        </w:numPr>
        <w:contextualSpacing w:val="0"/>
        <w:jc w:val="both"/>
        <w:rPr>
          <w:lang w:eastAsia="ja-JP"/>
        </w:rPr>
      </w:pPr>
      <w:r>
        <w:rPr>
          <w:rFonts w:hint="eastAsia"/>
          <w:lang w:eastAsia="ja-JP"/>
        </w:rPr>
        <w:t>Draft amendments to t</w:t>
      </w:r>
      <w:r w:rsidRPr="001112A5">
        <w:rPr>
          <w:rFonts w:hint="eastAsia"/>
          <w:lang w:eastAsia="ja-JP"/>
        </w:rPr>
        <w:t xml:space="preserve">he international code of safety for </w:t>
      </w:r>
      <w:proofErr w:type="gramStart"/>
      <w:r w:rsidRPr="001112A5">
        <w:rPr>
          <w:rFonts w:hint="eastAsia"/>
          <w:lang w:eastAsia="ja-JP"/>
        </w:rPr>
        <w:t>high speed</w:t>
      </w:r>
      <w:proofErr w:type="gramEnd"/>
      <w:r w:rsidRPr="001112A5">
        <w:rPr>
          <w:rFonts w:hint="eastAsia"/>
          <w:lang w:eastAsia="ja-JP"/>
        </w:rPr>
        <w:t xml:space="preserve"> craft, 2000 (2000 HSC Code)</w:t>
      </w:r>
      <w:r>
        <w:rPr>
          <w:rFonts w:hint="eastAsia"/>
          <w:lang w:eastAsia="ja-JP"/>
        </w:rPr>
        <w:t xml:space="preserve"> (Resolution MSC.97(73))</w:t>
      </w:r>
    </w:p>
    <w:p w14:paraId="277A1C15" w14:textId="77777777" w:rsidR="004A6751" w:rsidRDefault="004A6751" w:rsidP="004A6751">
      <w:pPr>
        <w:pStyle w:val="ListParagraph"/>
        <w:ind w:left="1731"/>
        <w:rPr>
          <w:lang w:eastAsia="ja-JP"/>
        </w:rPr>
      </w:pPr>
    </w:p>
    <w:p w14:paraId="12941A16" w14:textId="4E0BD212" w:rsidR="004A6751" w:rsidRDefault="004A6751" w:rsidP="004A6751">
      <w:pPr>
        <w:pStyle w:val="ListParagraph"/>
        <w:numPr>
          <w:ilvl w:val="0"/>
          <w:numId w:val="46"/>
        </w:numPr>
        <w:contextualSpacing w:val="0"/>
        <w:jc w:val="both"/>
        <w:rPr>
          <w:lang w:eastAsia="ja-JP"/>
        </w:rPr>
      </w:pPr>
      <w:r>
        <w:rPr>
          <w:rFonts w:hint="eastAsia"/>
          <w:lang w:eastAsia="ja-JP"/>
        </w:rPr>
        <w:t>Draft amendments to t</w:t>
      </w:r>
      <w:r w:rsidRPr="001112A5">
        <w:rPr>
          <w:rFonts w:hint="eastAsia"/>
          <w:lang w:eastAsia="ja-JP"/>
        </w:rPr>
        <w:t xml:space="preserve">he international code of safety for </w:t>
      </w:r>
      <w:proofErr w:type="gramStart"/>
      <w:r w:rsidRPr="001112A5">
        <w:rPr>
          <w:rFonts w:hint="eastAsia"/>
          <w:lang w:eastAsia="ja-JP"/>
        </w:rPr>
        <w:t>high speed</w:t>
      </w:r>
      <w:proofErr w:type="gramEnd"/>
      <w:r w:rsidRPr="001112A5">
        <w:rPr>
          <w:rFonts w:hint="eastAsia"/>
          <w:lang w:eastAsia="ja-JP"/>
        </w:rPr>
        <w:t xml:space="preserve"> craft, 1994 (1994 HSC Code)</w:t>
      </w:r>
      <w:r>
        <w:rPr>
          <w:rFonts w:hint="eastAsia"/>
          <w:lang w:eastAsia="ja-JP"/>
        </w:rPr>
        <w:t xml:space="preserve"> (Resolution MSC.119(74))</w:t>
      </w:r>
    </w:p>
    <w:p w14:paraId="56B98A45" w14:textId="77777777" w:rsidR="004A6751" w:rsidRDefault="004A6751" w:rsidP="004A6751">
      <w:pPr>
        <w:pStyle w:val="ListParagraph"/>
        <w:ind w:left="1731"/>
        <w:rPr>
          <w:lang w:eastAsia="ja-JP"/>
        </w:rPr>
      </w:pPr>
    </w:p>
    <w:p w14:paraId="26FA4F76" w14:textId="3A1B34C0" w:rsidR="004A6751" w:rsidRDefault="004A6751" w:rsidP="004A6751">
      <w:pPr>
        <w:pStyle w:val="ListParagraph"/>
        <w:numPr>
          <w:ilvl w:val="0"/>
          <w:numId w:val="46"/>
        </w:numPr>
        <w:contextualSpacing w:val="0"/>
        <w:jc w:val="both"/>
        <w:rPr>
          <w:lang w:eastAsia="ja-JP"/>
        </w:rPr>
      </w:pPr>
      <w:r>
        <w:rPr>
          <w:rFonts w:hint="eastAsia"/>
          <w:lang w:eastAsia="ja-JP"/>
        </w:rPr>
        <w:t>Draft amendments to the international code for ships operating in polar waters (Polar Code) (Resolution MSC.385(94))</w:t>
      </w:r>
    </w:p>
    <w:p w14:paraId="6BC725E6" w14:textId="77777777" w:rsidR="004A6751" w:rsidRDefault="004A6751" w:rsidP="004A6751">
      <w:pPr>
        <w:pStyle w:val="ListParagraph"/>
        <w:ind w:left="1731"/>
        <w:rPr>
          <w:lang w:eastAsia="ja-JP"/>
        </w:rPr>
      </w:pPr>
    </w:p>
    <w:p w14:paraId="5205E60F" w14:textId="7598E3C0" w:rsidR="004A6751" w:rsidRDefault="004A6751" w:rsidP="004A6751">
      <w:pPr>
        <w:pStyle w:val="ListParagraph"/>
        <w:numPr>
          <w:ilvl w:val="0"/>
          <w:numId w:val="46"/>
        </w:numPr>
        <w:contextualSpacing w:val="0"/>
        <w:jc w:val="both"/>
        <w:rPr>
          <w:lang w:eastAsia="ja-JP"/>
        </w:rPr>
      </w:pPr>
      <w:r>
        <w:rPr>
          <w:rFonts w:hint="eastAsia"/>
          <w:lang w:eastAsia="ja-JP"/>
        </w:rPr>
        <w:t>Draft amendments to the international maritime solid bulk cargoes (IMSBC) code (Resolution MSC.462(101))</w:t>
      </w:r>
    </w:p>
    <w:p w14:paraId="2F659A10" w14:textId="77777777" w:rsidR="004A6751" w:rsidRDefault="004A6751" w:rsidP="004A6751">
      <w:pPr>
        <w:pStyle w:val="BodyText"/>
        <w:ind w:leftChars="200" w:left="440"/>
        <w:rPr>
          <w:rFonts w:ascii="Calibri" w:hAnsi="Calibri"/>
          <w:lang w:eastAsia="ja-JP"/>
        </w:rPr>
      </w:pPr>
    </w:p>
    <w:p w14:paraId="2ACEEDAE" w14:textId="77777777" w:rsidR="00ED6968" w:rsidRDefault="00ED6968" w:rsidP="00ED6968">
      <w:pPr>
        <w:rPr>
          <w:lang w:eastAsia="ja-JP"/>
        </w:rPr>
      </w:pPr>
    </w:p>
    <w:p w14:paraId="5F810466" w14:textId="77777777" w:rsidR="00ED6968" w:rsidRPr="0079449D" w:rsidRDefault="00ED6968" w:rsidP="00ED6968">
      <w:pPr>
        <w:pStyle w:val="ListParagraph"/>
        <w:numPr>
          <w:ilvl w:val="0"/>
          <w:numId w:val="45"/>
        </w:numPr>
        <w:contextualSpacing w:val="0"/>
        <w:rPr>
          <w:b/>
          <w:bCs/>
          <w:i/>
          <w:iCs/>
          <w:lang w:eastAsia="ja-JP"/>
        </w:rPr>
      </w:pPr>
      <w:r>
        <w:rPr>
          <w:rFonts w:hint="eastAsia"/>
          <w:b/>
          <w:bCs/>
          <w:i/>
          <w:iCs/>
          <w:lang w:eastAsia="ja-JP"/>
        </w:rPr>
        <w:t>Draft amendments to non-m</w:t>
      </w:r>
      <w:r w:rsidRPr="0079449D">
        <w:rPr>
          <w:rFonts w:hint="eastAsia"/>
          <w:b/>
          <w:bCs/>
          <w:i/>
          <w:iCs/>
          <w:lang w:eastAsia="ja-JP"/>
        </w:rPr>
        <w:t>andatory instruments</w:t>
      </w:r>
    </w:p>
    <w:p w14:paraId="7392B53D" w14:textId="77777777" w:rsidR="00ED6968" w:rsidRDefault="00ED6968" w:rsidP="00ED6968">
      <w:pPr>
        <w:rPr>
          <w:lang w:eastAsia="ja-JP"/>
        </w:rPr>
      </w:pPr>
    </w:p>
    <w:p w14:paraId="5E3FCC7C" w14:textId="13020A91" w:rsidR="00ED6968" w:rsidRDefault="00ED6968" w:rsidP="00ED6968">
      <w:pPr>
        <w:pStyle w:val="ListParagraph"/>
        <w:numPr>
          <w:ilvl w:val="0"/>
          <w:numId w:val="47"/>
        </w:numPr>
        <w:contextualSpacing w:val="0"/>
        <w:jc w:val="both"/>
        <w:rPr>
          <w:lang w:eastAsia="ja-JP"/>
        </w:rPr>
      </w:pPr>
      <w:r>
        <w:rPr>
          <w:rFonts w:hint="eastAsia"/>
          <w:lang w:eastAsia="ja-JP"/>
        </w:rPr>
        <w:t>Draft amendments to the proper use of VHF channels at sea</w:t>
      </w:r>
      <w:r w:rsidRPr="00C5308A">
        <w:rPr>
          <w:rFonts w:hint="eastAsia"/>
          <w:lang w:eastAsia="ja-JP"/>
        </w:rPr>
        <w:t xml:space="preserve"> </w:t>
      </w:r>
      <w:r>
        <w:rPr>
          <w:rFonts w:hint="eastAsia"/>
          <w:lang w:eastAsia="ja-JP"/>
        </w:rPr>
        <w:t>(Resolution A.954(23))</w:t>
      </w:r>
    </w:p>
    <w:p w14:paraId="50949D78" w14:textId="77777777" w:rsidR="00ED6968" w:rsidRDefault="00ED6968" w:rsidP="00ED6968">
      <w:pPr>
        <w:pStyle w:val="ListParagraph"/>
        <w:ind w:left="1731"/>
        <w:rPr>
          <w:lang w:eastAsia="ja-JP"/>
        </w:rPr>
      </w:pPr>
    </w:p>
    <w:p w14:paraId="7069D810" w14:textId="67ED67C7" w:rsidR="00ED6968" w:rsidRDefault="00ED6968" w:rsidP="00ED6968">
      <w:pPr>
        <w:pStyle w:val="ListParagraph"/>
        <w:numPr>
          <w:ilvl w:val="0"/>
          <w:numId w:val="47"/>
        </w:numPr>
        <w:contextualSpacing w:val="0"/>
        <w:jc w:val="both"/>
        <w:rPr>
          <w:lang w:eastAsia="ja-JP"/>
        </w:rPr>
      </w:pPr>
      <w:r>
        <w:rPr>
          <w:rFonts w:hint="eastAsia"/>
          <w:lang w:eastAsia="ja-JP"/>
        </w:rPr>
        <w:t>Draft amendments to guidelines for ship operating in polar waters (Resolution A.1024(26))</w:t>
      </w:r>
    </w:p>
    <w:p w14:paraId="2792C4FE" w14:textId="77777777" w:rsidR="00ED6968" w:rsidRDefault="00ED6968" w:rsidP="00ED6968">
      <w:pPr>
        <w:pStyle w:val="ListParagraph"/>
        <w:ind w:left="1731"/>
        <w:rPr>
          <w:lang w:eastAsia="ja-JP"/>
        </w:rPr>
      </w:pPr>
    </w:p>
    <w:p w14:paraId="449BFC65" w14:textId="364E827E" w:rsidR="00ED6968" w:rsidRDefault="00ED6968" w:rsidP="00ED6968">
      <w:pPr>
        <w:pStyle w:val="ListParagraph"/>
        <w:numPr>
          <w:ilvl w:val="0"/>
          <w:numId w:val="47"/>
        </w:numPr>
        <w:contextualSpacing w:val="0"/>
        <w:jc w:val="both"/>
        <w:rPr>
          <w:lang w:eastAsia="ja-JP"/>
        </w:rPr>
      </w:pPr>
      <w:r>
        <w:rPr>
          <w:rFonts w:hint="eastAsia"/>
          <w:lang w:eastAsia="ja-JP"/>
        </w:rPr>
        <w:t xml:space="preserve">Draft amendments to survey guidelines under the harmonized system of survey and </w:t>
      </w:r>
      <w:r>
        <w:rPr>
          <w:lang w:eastAsia="ja-JP"/>
        </w:rPr>
        <w:t>certification</w:t>
      </w:r>
      <w:r>
        <w:rPr>
          <w:rFonts w:hint="eastAsia"/>
          <w:lang w:eastAsia="ja-JP"/>
        </w:rPr>
        <w:t xml:space="preserve"> (HSSC), 2021 (Resolution A.1156(32))</w:t>
      </w:r>
    </w:p>
    <w:p w14:paraId="2F2E8A68" w14:textId="77777777" w:rsidR="00ED6968" w:rsidRDefault="00ED6968" w:rsidP="00ED6968">
      <w:pPr>
        <w:pStyle w:val="ListParagraph"/>
        <w:ind w:left="1731"/>
        <w:rPr>
          <w:lang w:eastAsia="ja-JP"/>
        </w:rPr>
      </w:pPr>
    </w:p>
    <w:p w14:paraId="278077D9" w14:textId="4939A03C" w:rsidR="00ED6968" w:rsidRDefault="00ED6968" w:rsidP="00ED6968">
      <w:pPr>
        <w:pStyle w:val="ListParagraph"/>
        <w:numPr>
          <w:ilvl w:val="0"/>
          <w:numId w:val="47"/>
        </w:numPr>
        <w:contextualSpacing w:val="0"/>
        <w:jc w:val="both"/>
        <w:rPr>
          <w:lang w:eastAsia="ja-JP"/>
        </w:rPr>
      </w:pPr>
      <w:r>
        <w:rPr>
          <w:rFonts w:hint="eastAsia"/>
          <w:lang w:eastAsia="ja-JP"/>
        </w:rPr>
        <w:t>Draft amendments to procedures for port state control (Resolution A.1185(33))</w:t>
      </w:r>
    </w:p>
    <w:p w14:paraId="06827EED" w14:textId="77777777" w:rsidR="00ED6968" w:rsidRDefault="00ED6968" w:rsidP="00ED6968">
      <w:pPr>
        <w:pStyle w:val="ListParagraph"/>
        <w:ind w:left="1731"/>
        <w:rPr>
          <w:lang w:eastAsia="ja-JP"/>
        </w:rPr>
      </w:pPr>
    </w:p>
    <w:p w14:paraId="574BFB53" w14:textId="2A1906DC" w:rsidR="00ED6968" w:rsidRDefault="00ED6968" w:rsidP="00ED6968">
      <w:pPr>
        <w:pStyle w:val="ListParagraph"/>
        <w:numPr>
          <w:ilvl w:val="0"/>
          <w:numId w:val="47"/>
        </w:numPr>
        <w:contextualSpacing w:val="0"/>
        <w:jc w:val="both"/>
        <w:rPr>
          <w:lang w:eastAsia="ja-JP"/>
        </w:rPr>
      </w:pPr>
      <w:r>
        <w:rPr>
          <w:rFonts w:hint="eastAsia"/>
          <w:lang w:eastAsia="ja-JP"/>
        </w:rPr>
        <w:t xml:space="preserve">Draft amendments to </w:t>
      </w:r>
      <w:bookmarkStart w:id="0" w:name="_Hlk190693748"/>
      <w:r>
        <w:rPr>
          <w:rFonts w:hint="eastAsia"/>
          <w:lang w:eastAsia="ja-JP"/>
        </w:rPr>
        <w:t xml:space="preserve">the recommendation on performance standards for </w:t>
      </w:r>
      <w:proofErr w:type="gramStart"/>
      <w:r>
        <w:rPr>
          <w:rFonts w:hint="eastAsia"/>
          <w:lang w:eastAsia="ja-JP"/>
        </w:rPr>
        <w:t>an</w:t>
      </w:r>
      <w:proofErr w:type="gramEnd"/>
      <w:r>
        <w:rPr>
          <w:rFonts w:hint="eastAsia"/>
          <w:lang w:eastAsia="ja-JP"/>
        </w:rPr>
        <w:t xml:space="preserve"> universal shipborne automatic identification system (AIS) (Resolution MSC.74(69), annex 3)</w:t>
      </w:r>
      <w:bookmarkEnd w:id="0"/>
    </w:p>
    <w:p w14:paraId="18F585F5" w14:textId="77777777" w:rsidR="00ED6968" w:rsidRDefault="00ED6968" w:rsidP="00ED6968">
      <w:pPr>
        <w:pStyle w:val="ListParagraph"/>
        <w:ind w:left="1731"/>
        <w:rPr>
          <w:lang w:eastAsia="ja-JP"/>
        </w:rPr>
      </w:pPr>
    </w:p>
    <w:p w14:paraId="1E20C393" w14:textId="41F79294" w:rsidR="00ED6968" w:rsidRDefault="00ED6968" w:rsidP="00ED6968">
      <w:pPr>
        <w:pStyle w:val="ListParagraph"/>
        <w:numPr>
          <w:ilvl w:val="0"/>
          <w:numId w:val="47"/>
        </w:numPr>
        <w:contextualSpacing w:val="0"/>
        <w:jc w:val="both"/>
        <w:rPr>
          <w:lang w:eastAsia="ja-JP"/>
        </w:rPr>
      </w:pPr>
      <w:r>
        <w:rPr>
          <w:rFonts w:hint="eastAsia"/>
          <w:lang w:eastAsia="ja-JP"/>
        </w:rPr>
        <w:t xml:space="preserve">Draft amendments to </w:t>
      </w:r>
      <w:r>
        <w:rPr>
          <w:lang w:eastAsia="ja-JP"/>
        </w:rPr>
        <w:t>performance</w:t>
      </w:r>
      <w:r>
        <w:rPr>
          <w:rFonts w:hint="eastAsia"/>
          <w:lang w:eastAsia="ja-JP"/>
        </w:rPr>
        <w:t xml:space="preserve"> standards for shipborne simplified voyage data recorders (S-VDRs) (Resolution MSC.163(78))</w:t>
      </w:r>
    </w:p>
    <w:p w14:paraId="69FBA163" w14:textId="77777777" w:rsidR="00ED6968" w:rsidRDefault="00ED6968" w:rsidP="00ED6968">
      <w:pPr>
        <w:pStyle w:val="ListParagraph"/>
        <w:ind w:left="1731"/>
        <w:rPr>
          <w:lang w:eastAsia="ja-JP"/>
        </w:rPr>
      </w:pPr>
    </w:p>
    <w:p w14:paraId="756B3BA3" w14:textId="61C7086C" w:rsidR="00ED6968" w:rsidRDefault="00ED6968" w:rsidP="00ED6968">
      <w:pPr>
        <w:pStyle w:val="ListParagraph"/>
        <w:numPr>
          <w:ilvl w:val="0"/>
          <w:numId w:val="47"/>
        </w:numPr>
        <w:contextualSpacing w:val="0"/>
        <w:jc w:val="both"/>
        <w:rPr>
          <w:lang w:eastAsia="ja-JP"/>
        </w:rPr>
      </w:pPr>
      <w:r>
        <w:rPr>
          <w:rFonts w:hint="eastAsia"/>
          <w:lang w:eastAsia="ja-JP"/>
        </w:rPr>
        <w:t xml:space="preserve">Draft amendments to the performance standards for the presentation of navigation-related </w:t>
      </w:r>
      <w:r>
        <w:rPr>
          <w:lang w:eastAsia="ja-JP"/>
        </w:rPr>
        <w:t>information</w:t>
      </w:r>
      <w:r>
        <w:rPr>
          <w:rFonts w:hint="eastAsia"/>
          <w:lang w:eastAsia="ja-JP"/>
        </w:rPr>
        <w:t xml:space="preserve"> on shipborne navigational display (Resolution MSC.191(79), as amended)</w:t>
      </w:r>
    </w:p>
    <w:p w14:paraId="2DDBD2E7" w14:textId="77777777" w:rsidR="00ED6968" w:rsidRDefault="00ED6968" w:rsidP="00ED6968">
      <w:pPr>
        <w:pStyle w:val="ListParagraph"/>
        <w:ind w:left="1731"/>
        <w:rPr>
          <w:lang w:eastAsia="ja-JP"/>
        </w:rPr>
      </w:pPr>
    </w:p>
    <w:p w14:paraId="6536B6F7" w14:textId="2E7F8F7C" w:rsidR="00ED6968" w:rsidRDefault="00ED6968" w:rsidP="00ED6968">
      <w:pPr>
        <w:pStyle w:val="ListParagraph"/>
        <w:numPr>
          <w:ilvl w:val="0"/>
          <w:numId w:val="47"/>
        </w:numPr>
        <w:contextualSpacing w:val="0"/>
        <w:jc w:val="both"/>
        <w:rPr>
          <w:lang w:eastAsia="ja-JP"/>
        </w:rPr>
      </w:pPr>
      <w:r>
        <w:rPr>
          <w:rFonts w:hint="eastAsia"/>
          <w:lang w:eastAsia="ja-JP"/>
        </w:rPr>
        <w:t xml:space="preserve">Draft amendments to the revised </w:t>
      </w:r>
      <w:r>
        <w:rPr>
          <w:lang w:eastAsia="ja-JP"/>
        </w:rPr>
        <w:t>performance</w:t>
      </w:r>
      <w:r>
        <w:rPr>
          <w:rFonts w:hint="eastAsia"/>
          <w:lang w:eastAsia="ja-JP"/>
        </w:rPr>
        <w:t xml:space="preserve"> standards for radar equipment (Resolution MSC.192(79))</w:t>
      </w:r>
    </w:p>
    <w:p w14:paraId="7F1613C5" w14:textId="77777777" w:rsidR="00ED6968" w:rsidRDefault="00ED6968" w:rsidP="00ED6968">
      <w:pPr>
        <w:pStyle w:val="ListParagraph"/>
        <w:ind w:left="1731"/>
        <w:rPr>
          <w:lang w:eastAsia="ja-JP"/>
        </w:rPr>
      </w:pPr>
    </w:p>
    <w:p w14:paraId="0D0157F1" w14:textId="76F6B26E" w:rsidR="00ED6968" w:rsidRDefault="00ED6968" w:rsidP="00ED6968">
      <w:pPr>
        <w:pStyle w:val="ListParagraph"/>
        <w:numPr>
          <w:ilvl w:val="0"/>
          <w:numId w:val="47"/>
        </w:numPr>
        <w:contextualSpacing w:val="0"/>
        <w:jc w:val="both"/>
        <w:rPr>
          <w:lang w:eastAsia="ja-JP"/>
        </w:rPr>
      </w:pPr>
      <w:r>
        <w:rPr>
          <w:rFonts w:hint="eastAsia"/>
          <w:lang w:eastAsia="ja-JP"/>
        </w:rPr>
        <w:t xml:space="preserve">Draft amendments to adoption of amendments to the code of safety for dynamically </w:t>
      </w:r>
      <w:r>
        <w:rPr>
          <w:lang w:eastAsia="ja-JP"/>
        </w:rPr>
        <w:t>supported</w:t>
      </w:r>
      <w:r>
        <w:rPr>
          <w:rFonts w:hint="eastAsia"/>
          <w:lang w:eastAsia="ja-JP"/>
        </w:rPr>
        <w:t xml:space="preserve"> craft, as amended (Resolution MSC.224(82))</w:t>
      </w:r>
    </w:p>
    <w:p w14:paraId="07977745" w14:textId="77777777" w:rsidR="00ED6968" w:rsidRDefault="00ED6968" w:rsidP="00ED6968">
      <w:pPr>
        <w:pStyle w:val="ListParagraph"/>
        <w:ind w:left="1731"/>
        <w:rPr>
          <w:lang w:eastAsia="ja-JP"/>
        </w:rPr>
      </w:pPr>
    </w:p>
    <w:p w14:paraId="58C746D1" w14:textId="7EB07442" w:rsidR="00ED6968" w:rsidRDefault="00ED6968" w:rsidP="00ED6968">
      <w:pPr>
        <w:pStyle w:val="ListParagraph"/>
        <w:numPr>
          <w:ilvl w:val="0"/>
          <w:numId w:val="47"/>
        </w:numPr>
        <w:contextualSpacing w:val="0"/>
        <w:jc w:val="both"/>
        <w:rPr>
          <w:lang w:eastAsia="ja-JP"/>
        </w:rPr>
      </w:pPr>
      <w:r>
        <w:rPr>
          <w:rFonts w:hint="eastAsia"/>
          <w:lang w:eastAsia="ja-JP"/>
        </w:rPr>
        <w:t xml:space="preserve">Draft amendments to the revised </w:t>
      </w:r>
      <w:r>
        <w:rPr>
          <w:lang w:eastAsia="ja-JP"/>
        </w:rPr>
        <w:t>performance</w:t>
      </w:r>
      <w:r>
        <w:rPr>
          <w:rFonts w:hint="eastAsia"/>
          <w:lang w:eastAsia="ja-JP"/>
        </w:rPr>
        <w:t xml:space="preserve"> standards for electronic chart display and </w:t>
      </w:r>
      <w:r>
        <w:rPr>
          <w:lang w:eastAsia="ja-JP"/>
        </w:rPr>
        <w:t>information</w:t>
      </w:r>
      <w:r>
        <w:rPr>
          <w:rFonts w:hint="eastAsia"/>
          <w:lang w:eastAsia="ja-JP"/>
        </w:rPr>
        <w:t xml:space="preserve"> system (ECDIS) (Resolution MSC.232(82))</w:t>
      </w:r>
    </w:p>
    <w:p w14:paraId="6FF494F7" w14:textId="77777777" w:rsidR="00ED6968" w:rsidRDefault="00ED6968" w:rsidP="00ED6968">
      <w:pPr>
        <w:pStyle w:val="ListParagraph"/>
        <w:ind w:left="1731"/>
        <w:rPr>
          <w:lang w:eastAsia="ja-JP"/>
        </w:rPr>
      </w:pPr>
    </w:p>
    <w:p w14:paraId="1503CE28" w14:textId="1ECA8E59" w:rsidR="00ED6968" w:rsidRDefault="00ED6968" w:rsidP="00ED6968">
      <w:pPr>
        <w:pStyle w:val="ListParagraph"/>
        <w:numPr>
          <w:ilvl w:val="0"/>
          <w:numId w:val="47"/>
        </w:numPr>
        <w:contextualSpacing w:val="0"/>
        <w:jc w:val="both"/>
        <w:rPr>
          <w:lang w:eastAsia="ja-JP"/>
        </w:rPr>
      </w:pPr>
      <w:r>
        <w:rPr>
          <w:lang w:eastAsia="ja-JP"/>
        </w:rPr>
        <w:t>D</w:t>
      </w:r>
      <w:r>
        <w:rPr>
          <w:rFonts w:hint="eastAsia"/>
          <w:lang w:eastAsia="ja-JP"/>
        </w:rPr>
        <w:t xml:space="preserve">raft amendments to the revised </w:t>
      </w:r>
      <w:r>
        <w:rPr>
          <w:lang w:eastAsia="ja-JP"/>
        </w:rPr>
        <w:t>performance</w:t>
      </w:r>
      <w:r>
        <w:rPr>
          <w:rFonts w:hint="eastAsia"/>
          <w:lang w:eastAsia="ja-JP"/>
        </w:rPr>
        <w:t xml:space="preserve"> standards for integrated navigation </w:t>
      </w:r>
      <w:r>
        <w:rPr>
          <w:lang w:eastAsia="ja-JP"/>
        </w:rPr>
        <w:t>system</w:t>
      </w:r>
      <w:r>
        <w:rPr>
          <w:rFonts w:hint="eastAsia"/>
          <w:lang w:eastAsia="ja-JP"/>
        </w:rPr>
        <w:t xml:space="preserve"> (Resolution MSC.252 (83) and Resolution MSC.452 (99))</w:t>
      </w:r>
    </w:p>
    <w:p w14:paraId="4E0882E9" w14:textId="77777777" w:rsidR="00ED6968" w:rsidRDefault="00ED6968" w:rsidP="00ED6968">
      <w:pPr>
        <w:pStyle w:val="ListParagraph"/>
        <w:ind w:left="1731"/>
        <w:rPr>
          <w:lang w:eastAsia="ja-JP"/>
        </w:rPr>
      </w:pPr>
    </w:p>
    <w:p w14:paraId="37930F32" w14:textId="50E38D18" w:rsidR="00ED6968" w:rsidRDefault="00ED6968" w:rsidP="00ED6968">
      <w:pPr>
        <w:pStyle w:val="ListParagraph"/>
        <w:numPr>
          <w:ilvl w:val="0"/>
          <w:numId w:val="47"/>
        </w:numPr>
        <w:contextualSpacing w:val="0"/>
        <w:jc w:val="both"/>
        <w:rPr>
          <w:lang w:eastAsia="ja-JP"/>
        </w:rPr>
      </w:pPr>
      <w:r>
        <w:rPr>
          <w:rFonts w:hint="eastAsia"/>
          <w:lang w:eastAsia="ja-JP"/>
        </w:rPr>
        <w:t>Draft amendments to code of safety for special purpose ships, 2008 (Resolution MSC.266(84))</w:t>
      </w:r>
    </w:p>
    <w:p w14:paraId="1FBAAFE2" w14:textId="77777777" w:rsidR="00ED6968" w:rsidRDefault="00ED6968" w:rsidP="00ED6968">
      <w:pPr>
        <w:pStyle w:val="ListParagraph"/>
        <w:ind w:left="1731"/>
        <w:rPr>
          <w:lang w:eastAsia="ja-JP"/>
        </w:rPr>
      </w:pPr>
    </w:p>
    <w:p w14:paraId="57FA25DA" w14:textId="5135C9E9" w:rsidR="00ED6968" w:rsidRDefault="00ED6968" w:rsidP="00ED6968">
      <w:pPr>
        <w:pStyle w:val="ListParagraph"/>
        <w:numPr>
          <w:ilvl w:val="0"/>
          <w:numId w:val="47"/>
        </w:numPr>
        <w:contextualSpacing w:val="0"/>
        <w:jc w:val="both"/>
        <w:rPr>
          <w:lang w:eastAsia="ja-JP"/>
        </w:rPr>
      </w:pPr>
      <w:r>
        <w:rPr>
          <w:rFonts w:hint="eastAsia"/>
          <w:lang w:eastAsia="ja-JP"/>
        </w:rPr>
        <w:t>Draft amendments to the revised performance standards for shipborne voyage data recorders (VDRS) (Resolution MSC.333 (90))</w:t>
      </w:r>
    </w:p>
    <w:p w14:paraId="328AF13D" w14:textId="77777777" w:rsidR="00ED6968" w:rsidRDefault="00ED6968" w:rsidP="00ED6968">
      <w:pPr>
        <w:pStyle w:val="ListParagraph"/>
        <w:ind w:left="1731"/>
        <w:rPr>
          <w:lang w:eastAsia="ja-JP"/>
        </w:rPr>
      </w:pPr>
    </w:p>
    <w:p w14:paraId="17559139" w14:textId="70C23051" w:rsidR="00ED6968" w:rsidRDefault="00ED6968" w:rsidP="00ED6968">
      <w:pPr>
        <w:pStyle w:val="ListParagraph"/>
        <w:numPr>
          <w:ilvl w:val="0"/>
          <w:numId w:val="47"/>
        </w:numPr>
        <w:contextualSpacing w:val="0"/>
        <w:jc w:val="both"/>
        <w:rPr>
          <w:lang w:eastAsia="ja-JP"/>
        </w:rPr>
      </w:pPr>
      <w:r>
        <w:rPr>
          <w:rFonts w:hint="eastAsia"/>
          <w:lang w:eastAsia="ja-JP"/>
        </w:rPr>
        <w:t>Draft amendments to recommendation for the protection of AIS VHF Link (Resolution MSC.347(91))</w:t>
      </w:r>
    </w:p>
    <w:p w14:paraId="48B0E5F0" w14:textId="77777777" w:rsidR="00ED6968" w:rsidRDefault="00ED6968" w:rsidP="00ED6968">
      <w:pPr>
        <w:pStyle w:val="ListParagraph"/>
        <w:ind w:left="1731"/>
        <w:rPr>
          <w:lang w:eastAsia="ja-JP"/>
        </w:rPr>
      </w:pPr>
    </w:p>
    <w:p w14:paraId="457204CD" w14:textId="10A1E129" w:rsidR="00ED6968" w:rsidRDefault="00ED6968" w:rsidP="00ED6968">
      <w:pPr>
        <w:pStyle w:val="ListParagraph"/>
        <w:numPr>
          <w:ilvl w:val="0"/>
          <w:numId w:val="47"/>
        </w:numPr>
        <w:contextualSpacing w:val="0"/>
        <w:jc w:val="both"/>
        <w:rPr>
          <w:lang w:eastAsia="ja-JP"/>
        </w:rPr>
      </w:pPr>
      <w:r>
        <w:rPr>
          <w:rFonts w:hint="eastAsia"/>
          <w:lang w:eastAsia="ja-JP"/>
        </w:rPr>
        <w:t>Draft amendments to performance standards for a shipborne integrated communication system (ICS) when used in the global maritime distress and safety system (GMDSS) (Resolution MSC.517 (105))</w:t>
      </w:r>
    </w:p>
    <w:p w14:paraId="422EF36E" w14:textId="77777777" w:rsidR="00ED6968" w:rsidRDefault="00ED6968" w:rsidP="00ED6968">
      <w:pPr>
        <w:pStyle w:val="ListParagraph"/>
        <w:ind w:left="1731"/>
        <w:rPr>
          <w:lang w:eastAsia="ja-JP"/>
        </w:rPr>
      </w:pPr>
    </w:p>
    <w:p w14:paraId="1E3D9D54" w14:textId="58968952" w:rsidR="00ED6968" w:rsidRDefault="00ED6968" w:rsidP="00ED6968">
      <w:pPr>
        <w:pStyle w:val="ListParagraph"/>
        <w:numPr>
          <w:ilvl w:val="0"/>
          <w:numId w:val="47"/>
        </w:numPr>
        <w:contextualSpacing w:val="0"/>
        <w:jc w:val="both"/>
        <w:rPr>
          <w:lang w:eastAsia="ja-JP"/>
        </w:rPr>
      </w:pPr>
      <w:r>
        <w:rPr>
          <w:rFonts w:hint="eastAsia"/>
          <w:lang w:eastAsia="ja-JP"/>
        </w:rPr>
        <w:t xml:space="preserve">Draft amendments to performance standards for electronic chart display and navigation </w:t>
      </w:r>
      <w:r>
        <w:rPr>
          <w:lang w:eastAsia="ja-JP"/>
        </w:rPr>
        <w:t>system</w:t>
      </w:r>
      <w:r>
        <w:rPr>
          <w:rFonts w:hint="eastAsia"/>
          <w:lang w:eastAsia="ja-JP"/>
        </w:rPr>
        <w:t xml:space="preserve"> (ECDIS) (Resolution MSC.530 (106))</w:t>
      </w:r>
    </w:p>
    <w:p w14:paraId="3CC9553D" w14:textId="77777777" w:rsidR="00ED6968" w:rsidRDefault="00ED6968" w:rsidP="00ED6968">
      <w:pPr>
        <w:pStyle w:val="ListParagraph"/>
        <w:ind w:left="1731"/>
        <w:rPr>
          <w:lang w:eastAsia="ja-JP"/>
        </w:rPr>
      </w:pPr>
    </w:p>
    <w:p w14:paraId="12D7E812" w14:textId="0CE94468" w:rsidR="00ED6968" w:rsidRDefault="00ED6968" w:rsidP="00ED6968">
      <w:pPr>
        <w:pStyle w:val="ListParagraph"/>
        <w:numPr>
          <w:ilvl w:val="0"/>
          <w:numId w:val="47"/>
        </w:numPr>
        <w:contextualSpacing w:val="0"/>
        <w:jc w:val="both"/>
        <w:rPr>
          <w:lang w:eastAsia="ja-JP"/>
        </w:rPr>
      </w:pPr>
      <w:r>
        <w:rPr>
          <w:rFonts w:hint="eastAsia"/>
          <w:lang w:eastAsia="ja-JP"/>
        </w:rPr>
        <w:t>Draft amendments to guidelines on ergonomic criteria for bridge equipment and layout (MSC.1/Circ.982)</w:t>
      </w:r>
    </w:p>
    <w:p w14:paraId="7FEEA505" w14:textId="77777777" w:rsidR="00ED6968" w:rsidRDefault="00ED6968" w:rsidP="00ED6968">
      <w:pPr>
        <w:pStyle w:val="ListParagraph"/>
        <w:ind w:left="1731"/>
        <w:rPr>
          <w:lang w:eastAsia="ja-JP"/>
        </w:rPr>
      </w:pPr>
    </w:p>
    <w:p w14:paraId="013DB0A6" w14:textId="52FC5408" w:rsidR="00ED6968" w:rsidRDefault="00ED6968" w:rsidP="00ED6968">
      <w:pPr>
        <w:pStyle w:val="ListParagraph"/>
        <w:numPr>
          <w:ilvl w:val="0"/>
          <w:numId w:val="47"/>
        </w:numPr>
        <w:contextualSpacing w:val="0"/>
        <w:jc w:val="both"/>
        <w:rPr>
          <w:lang w:eastAsia="ja-JP"/>
        </w:rPr>
      </w:pPr>
      <w:r>
        <w:rPr>
          <w:rFonts w:hint="eastAsia"/>
          <w:lang w:eastAsia="ja-JP"/>
        </w:rPr>
        <w:t>Draft amendments to general principles and recommendations for knowledge, skills and training for officers on wing-in-ground (WIG) craft operating in both displacement ad ground effect modes (MSC.1/Circ.1162)</w:t>
      </w:r>
    </w:p>
    <w:p w14:paraId="36AE7F49" w14:textId="77777777" w:rsidR="00ED6968" w:rsidRDefault="00ED6968" w:rsidP="00ED6968">
      <w:pPr>
        <w:pStyle w:val="ListParagraph"/>
        <w:ind w:left="1731"/>
        <w:rPr>
          <w:lang w:eastAsia="ja-JP"/>
        </w:rPr>
      </w:pPr>
    </w:p>
    <w:p w14:paraId="5F55E916" w14:textId="7F1C9E43" w:rsidR="00ED6968" w:rsidRDefault="00ED6968" w:rsidP="00ED6968">
      <w:pPr>
        <w:pStyle w:val="ListParagraph"/>
        <w:numPr>
          <w:ilvl w:val="0"/>
          <w:numId w:val="47"/>
        </w:numPr>
        <w:contextualSpacing w:val="0"/>
        <w:jc w:val="both"/>
        <w:rPr>
          <w:lang w:eastAsia="ja-JP"/>
        </w:rPr>
      </w:pPr>
      <w:r>
        <w:rPr>
          <w:rFonts w:hint="eastAsia"/>
          <w:lang w:eastAsia="ja-JP"/>
        </w:rPr>
        <w:t>Draft amendments to guidelines on annual testing of voyage data recorders (VDR) and simplified voyage data recorders (S-VDR) (MSC.1/Circ.1222/Rev.1)</w:t>
      </w:r>
    </w:p>
    <w:p w14:paraId="7DDBE6ED" w14:textId="77777777" w:rsidR="00ED6968" w:rsidRDefault="00ED6968" w:rsidP="00ED6968">
      <w:pPr>
        <w:pStyle w:val="ListParagraph"/>
        <w:ind w:left="1731"/>
        <w:rPr>
          <w:lang w:eastAsia="ja-JP"/>
        </w:rPr>
      </w:pPr>
    </w:p>
    <w:p w14:paraId="78370E8D" w14:textId="097344AE" w:rsidR="00ED6968" w:rsidRDefault="00ED6968" w:rsidP="00ED6968">
      <w:pPr>
        <w:pStyle w:val="ListParagraph"/>
        <w:numPr>
          <w:ilvl w:val="0"/>
          <w:numId w:val="47"/>
        </w:numPr>
        <w:contextualSpacing w:val="0"/>
        <w:jc w:val="both"/>
        <w:rPr>
          <w:lang w:eastAsia="ja-JP"/>
        </w:rPr>
      </w:pPr>
      <w:r>
        <w:rPr>
          <w:rFonts w:hint="eastAsia"/>
          <w:lang w:eastAsia="ja-JP"/>
        </w:rPr>
        <w:t xml:space="preserve">Draft amendments to </w:t>
      </w:r>
      <w:bookmarkStart w:id="1" w:name="_Hlk190694163"/>
      <w:r>
        <w:rPr>
          <w:rFonts w:hint="eastAsia"/>
          <w:lang w:eastAsia="ja-JP"/>
        </w:rPr>
        <w:t>guidelines on annual testing of the automatic identification system (AIS) (MSC.1/Circ.1252)</w:t>
      </w:r>
      <w:bookmarkEnd w:id="1"/>
    </w:p>
    <w:p w14:paraId="73362C2F" w14:textId="77777777" w:rsidR="00ED6968" w:rsidRDefault="00ED6968" w:rsidP="00ED6968">
      <w:pPr>
        <w:pStyle w:val="ListParagraph"/>
        <w:ind w:left="1731"/>
        <w:rPr>
          <w:lang w:eastAsia="ja-JP"/>
        </w:rPr>
      </w:pPr>
    </w:p>
    <w:p w14:paraId="0049F5BF" w14:textId="1F594EC7" w:rsidR="00ED6968" w:rsidRDefault="00ED6968" w:rsidP="00ED6968">
      <w:pPr>
        <w:pStyle w:val="ListParagraph"/>
        <w:numPr>
          <w:ilvl w:val="0"/>
          <w:numId w:val="47"/>
        </w:numPr>
        <w:contextualSpacing w:val="0"/>
        <w:jc w:val="both"/>
        <w:rPr>
          <w:lang w:eastAsia="ja-JP"/>
        </w:rPr>
      </w:pPr>
      <w:r>
        <w:rPr>
          <w:rFonts w:hint="eastAsia"/>
          <w:lang w:eastAsia="ja-JP"/>
        </w:rPr>
        <w:t>Draft amendments to non-</w:t>
      </w:r>
      <w:r>
        <w:rPr>
          <w:lang w:eastAsia="ja-JP"/>
        </w:rPr>
        <w:t>mandatory</w:t>
      </w:r>
      <w:r>
        <w:rPr>
          <w:rFonts w:hint="eastAsia"/>
          <w:lang w:eastAsia="ja-JP"/>
        </w:rPr>
        <w:t xml:space="preserve"> guidelines on security aspects of the operation of vessels which do not fall within the scope of SOLAS chapter XI-2 and the ISPS code (MSC.1/Circ.1283)</w:t>
      </w:r>
    </w:p>
    <w:p w14:paraId="30655ECE" w14:textId="77777777" w:rsidR="00ED6968" w:rsidRDefault="00ED6968" w:rsidP="00ED6968">
      <w:pPr>
        <w:pStyle w:val="ListParagraph"/>
        <w:ind w:left="1731"/>
        <w:rPr>
          <w:lang w:eastAsia="ja-JP"/>
        </w:rPr>
      </w:pPr>
    </w:p>
    <w:p w14:paraId="3BF2C414" w14:textId="02DF48CB" w:rsidR="00ED6968" w:rsidRDefault="00ED6968" w:rsidP="00ED6968">
      <w:pPr>
        <w:pStyle w:val="ListParagraph"/>
        <w:numPr>
          <w:ilvl w:val="0"/>
          <w:numId w:val="47"/>
        </w:numPr>
        <w:contextualSpacing w:val="0"/>
        <w:jc w:val="both"/>
        <w:rPr>
          <w:lang w:eastAsia="ja-JP"/>
        </w:rPr>
      </w:pPr>
      <w:r>
        <w:rPr>
          <w:rFonts w:hint="eastAsia"/>
          <w:lang w:eastAsia="ja-JP"/>
        </w:rPr>
        <w:t>Draft amendments to guidance in relation to certain types of ships which are required to transmit LRIT information on exemptions and equivalents and on certain operation matters (MSC.1/Circ.1295)</w:t>
      </w:r>
    </w:p>
    <w:p w14:paraId="6B5900D0" w14:textId="77777777" w:rsidR="00ED6968" w:rsidRDefault="00ED6968" w:rsidP="00ED6968">
      <w:pPr>
        <w:pStyle w:val="ListParagraph"/>
        <w:ind w:left="1731"/>
        <w:rPr>
          <w:lang w:eastAsia="ja-JP"/>
        </w:rPr>
      </w:pPr>
    </w:p>
    <w:p w14:paraId="50812BB0" w14:textId="2880EC42" w:rsidR="00ED6968" w:rsidRDefault="00ED6968" w:rsidP="00ED6968">
      <w:pPr>
        <w:pStyle w:val="ListParagraph"/>
        <w:numPr>
          <w:ilvl w:val="0"/>
          <w:numId w:val="47"/>
        </w:numPr>
        <w:contextualSpacing w:val="0"/>
        <w:jc w:val="both"/>
        <w:rPr>
          <w:lang w:eastAsia="ja-JP"/>
        </w:rPr>
      </w:pPr>
      <w:r>
        <w:rPr>
          <w:rFonts w:hint="eastAsia"/>
          <w:lang w:eastAsia="ja-JP"/>
        </w:rPr>
        <w:t xml:space="preserve">Draft amendments to ECDIS </w:t>
      </w:r>
      <w:r>
        <w:rPr>
          <w:lang w:eastAsia="ja-JP"/>
        </w:rPr>
        <w:t>–</w:t>
      </w:r>
      <w:r>
        <w:rPr>
          <w:rFonts w:hint="eastAsia"/>
          <w:lang w:eastAsia="ja-JP"/>
        </w:rPr>
        <w:t xml:space="preserve"> guidance for good practice (MSC.1/Circ.1503/Rev.1)</w:t>
      </w:r>
    </w:p>
    <w:p w14:paraId="0675F028" w14:textId="77777777" w:rsidR="00ED6968" w:rsidRDefault="00ED6968" w:rsidP="00ED6968">
      <w:pPr>
        <w:pStyle w:val="ListParagraph"/>
        <w:ind w:left="1731"/>
        <w:rPr>
          <w:lang w:eastAsia="ja-JP"/>
        </w:rPr>
      </w:pPr>
    </w:p>
    <w:p w14:paraId="758AF39D" w14:textId="350C558B" w:rsidR="00ED6968" w:rsidRDefault="00ED6968" w:rsidP="00ED6968">
      <w:pPr>
        <w:pStyle w:val="ListParagraph"/>
        <w:numPr>
          <w:ilvl w:val="0"/>
          <w:numId w:val="47"/>
        </w:numPr>
        <w:contextualSpacing w:val="0"/>
        <w:jc w:val="both"/>
        <w:rPr>
          <w:lang w:eastAsia="ja-JP"/>
        </w:rPr>
      </w:pPr>
      <w:r>
        <w:rPr>
          <w:rFonts w:hint="eastAsia"/>
          <w:lang w:eastAsia="ja-JP"/>
        </w:rPr>
        <w:t>Draft amendments to guidelines for shipborne position, navigation and timing (PNT) data processing (MSC.1/Circ.1575)</w:t>
      </w:r>
    </w:p>
    <w:p w14:paraId="6EB0BA01" w14:textId="77777777" w:rsidR="00ED6968" w:rsidRDefault="00ED6968" w:rsidP="00ED6968">
      <w:pPr>
        <w:pStyle w:val="ListParagraph"/>
        <w:ind w:left="1731"/>
        <w:rPr>
          <w:lang w:eastAsia="ja-JP"/>
        </w:rPr>
      </w:pPr>
    </w:p>
    <w:p w14:paraId="0CDCAED4" w14:textId="62034E9A" w:rsidR="00ED6968" w:rsidRDefault="00ED6968" w:rsidP="00ED6968">
      <w:pPr>
        <w:pStyle w:val="ListParagraph"/>
        <w:numPr>
          <w:ilvl w:val="0"/>
          <w:numId w:val="47"/>
        </w:numPr>
        <w:contextualSpacing w:val="0"/>
        <w:jc w:val="both"/>
        <w:rPr>
          <w:lang w:eastAsia="ja-JP"/>
        </w:rPr>
      </w:pPr>
      <w:r>
        <w:rPr>
          <w:rFonts w:hint="eastAsia"/>
          <w:lang w:eastAsia="ja-JP"/>
        </w:rPr>
        <w:t xml:space="preserve">Draft amendments to unified interpretation of the provisions of SOLAS </w:t>
      </w:r>
      <w:r>
        <w:rPr>
          <w:lang w:eastAsia="ja-JP"/>
        </w:rPr>
        <w:t>relating</w:t>
      </w:r>
      <w:r>
        <w:rPr>
          <w:rFonts w:hint="eastAsia"/>
          <w:lang w:eastAsia="ja-JP"/>
        </w:rPr>
        <w:t xml:space="preserve"> to the annual testing of the VDR, S-VDR, AIS and EPIRB (MSC.1/Circ.1576)</w:t>
      </w:r>
    </w:p>
    <w:p w14:paraId="092BB53D" w14:textId="77777777" w:rsidR="00ED6968" w:rsidRDefault="00ED6968" w:rsidP="00ED6968">
      <w:pPr>
        <w:pStyle w:val="ListParagraph"/>
        <w:ind w:left="1731"/>
        <w:rPr>
          <w:lang w:eastAsia="ja-JP"/>
        </w:rPr>
      </w:pPr>
    </w:p>
    <w:p w14:paraId="6CD49DCE" w14:textId="27100AF0" w:rsidR="00ED6968" w:rsidRDefault="00ED6968" w:rsidP="00ED6968">
      <w:pPr>
        <w:pStyle w:val="ListParagraph"/>
        <w:numPr>
          <w:ilvl w:val="0"/>
          <w:numId w:val="47"/>
        </w:numPr>
        <w:contextualSpacing w:val="0"/>
        <w:jc w:val="both"/>
        <w:rPr>
          <w:lang w:eastAsia="ja-JP"/>
        </w:rPr>
      </w:pPr>
      <w:r>
        <w:rPr>
          <w:rFonts w:hint="eastAsia"/>
          <w:lang w:eastAsia="ja-JP"/>
        </w:rPr>
        <w:t>Draft amendments to guidelines for wing-in ground craft (MSC.1/Circ.1592)</w:t>
      </w:r>
    </w:p>
    <w:p w14:paraId="33B6CDF7" w14:textId="77777777" w:rsidR="00ED6968" w:rsidRDefault="00ED6968" w:rsidP="00ED6968">
      <w:pPr>
        <w:pStyle w:val="ListParagraph"/>
        <w:ind w:left="1731"/>
        <w:rPr>
          <w:lang w:eastAsia="ja-JP"/>
        </w:rPr>
      </w:pPr>
    </w:p>
    <w:p w14:paraId="07084664" w14:textId="3C64A8B8" w:rsidR="00ED6968" w:rsidRDefault="00ED6968" w:rsidP="00ED6968">
      <w:pPr>
        <w:pStyle w:val="ListParagraph"/>
        <w:numPr>
          <w:ilvl w:val="0"/>
          <w:numId w:val="47"/>
        </w:numPr>
        <w:contextualSpacing w:val="0"/>
        <w:jc w:val="both"/>
        <w:rPr>
          <w:lang w:eastAsia="ja-JP"/>
        </w:rPr>
      </w:pPr>
      <w:r>
        <w:rPr>
          <w:rFonts w:hint="eastAsia"/>
          <w:lang w:eastAsia="ja-JP"/>
        </w:rPr>
        <w:t>Draft amendments to guidelines for standardization of user interface design for navigation equipment (MSC.1/Circ.1609)</w:t>
      </w:r>
    </w:p>
    <w:p w14:paraId="63810CA5" w14:textId="77777777" w:rsidR="00ED6968" w:rsidRDefault="00ED6968" w:rsidP="00ED6968">
      <w:pPr>
        <w:pStyle w:val="ListParagraph"/>
        <w:ind w:left="1731"/>
        <w:rPr>
          <w:lang w:eastAsia="ja-JP"/>
        </w:rPr>
      </w:pPr>
    </w:p>
    <w:p w14:paraId="68CEF71F" w14:textId="7B010A00" w:rsidR="00ED6968" w:rsidRDefault="00ED6968" w:rsidP="00ED6968">
      <w:pPr>
        <w:pStyle w:val="ListParagraph"/>
        <w:numPr>
          <w:ilvl w:val="0"/>
          <w:numId w:val="47"/>
        </w:numPr>
        <w:contextualSpacing w:val="0"/>
        <w:jc w:val="both"/>
        <w:rPr>
          <w:lang w:eastAsia="ja-JP"/>
        </w:rPr>
      </w:pPr>
      <w:r>
        <w:rPr>
          <w:rFonts w:hint="eastAsia"/>
          <w:lang w:eastAsia="ja-JP"/>
        </w:rPr>
        <w:t xml:space="preserve">Draft amendments to guidance for navigation and communication </w:t>
      </w:r>
      <w:r>
        <w:rPr>
          <w:lang w:eastAsia="ja-JP"/>
        </w:rPr>
        <w:t>equipment</w:t>
      </w:r>
      <w:r>
        <w:rPr>
          <w:rFonts w:hint="eastAsia"/>
          <w:lang w:eastAsia="ja-JP"/>
        </w:rPr>
        <w:t xml:space="preserve"> intended for use on ships operating polar waters (MSC.1/Circ.1612)</w:t>
      </w:r>
    </w:p>
    <w:p w14:paraId="66EB50A7" w14:textId="77777777" w:rsidR="00ED6968" w:rsidRDefault="00ED6968" w:rsidP="00ED6968">
      <w:pPr>
        <w:pStyle w:val="ListParagraph"/>
        <w:ind w:left="1731"/>
        <w:rPr>
          <w:lang w:eastAsia="ja-JP"/>
        </w:rPr>
      </w:pPr>
    </w:p>
    <w:p w14:paraId="6C820230" w14:textId="3291A295" w:rsidR="00ED6968" w:rsidRDefault="00ED6968" w:rsidP="00ED6968">
      <w:pPr>
        <w:pStyle w:val="ListParagraph"/>
        <w:numPr>
          <w:ilvl w:val="0"/>
          <w:numId w:val="47"/>
        </w:numPr>
        <w:contextualSpacing w:val="0"/>
        <w:jc w:val="both"/>
        <w:rPr>
          <w:lang w:eastAsia="ja-JP"/>
        </w:rPr>
      </w:pPr>
      <w:r>
        <w:rPr>
          <w:rFonts w:hint="eastAsia"/>
          <w:lang w:eastAsia="ja-JP"/>
        </w:rPr>
        <w:t>Draft amendments to guidelines for safety measures for fishing vessels of 24 M in length and over operating in polar waters (MSC.1/Circ.1641)</w:t>
      </w:r>
    </w:p>
    <w:p w14:paraId="529ADE60" w14:textId="77777777" w:rsidR="00ED6968" w:rsidRDefault="00ED6968" w:rsidP="00ED6968">
      <w:pPr>
        <w:pStyle w:val="ListParagraph"/>
        <w:ind w:left="1731"/>
        <w:rPr>
          <w:lang w:eastAsia="ja-JP"/>
        </w:rPr>
      </w:pPr>
    </w:p>
    <w:p w14:paraId="1A51FB4B" w14:textId="079CB28C" w:rsidR="00ED6968" w:rsidRDefault="00ED6968" w:rsidP="00ED6968">
      <w:pPr>
        <w:pStyle w:val="ListParagraph"/>
        <w:numPr>
          <w:ilvl w:val="0"/>
          <w:numId w:val="47"/>
        </w:numPr>
        <w:contextualSpacing w:val="0"/>
        <w:jc w:val="both"/>
        <w:rPr>
          <w:lang w:eastAsia="ja-JP"/>
        </w:rPr>
      </w:pPr>
      <w:r>
        <w:rPr>
          <w:rFonts w:hint="eastAsia"/>
          <w:lang w:eastAsia="ja-JP"/>
        </w:rPr>
        <w:t>Draft amendments to guidelines for safety measures for pleasure yachts of 300 gross tonnage and above not engaged in trade operating in polar waters (MSC.1/Circ.1642)</w:t>
      </w:r>
    </w:p>
    <w:p w14:paraId="56222DBB" w14:textId="77777777" w:rsidR="00ED6968" w:rsidRDefault="00ED6968" w:rsidP="00ED6968">
      <w:pPr>
        <w:pStyle w:val="ListParagraph"/>
        <w:ind w:left="1731"/>
        <w:rPr>
          <w:lang w:eastAsia="ja-JP"/>
        </w:rPr>
      </w:pPr>
    </w:p>
    <w:p w14:paraId="784155B1" w14:textId="7D651943" w:rsidR="00ED6968" w:rsidRDefault="00ED6968" w:rsidP="00ED6968">
      <w:pPr>
        <w:pStyle w:val="ListParagraph"/>
        <w:numPr>
          <w:ilvl w:val="0"/>
          <w:numId w:val="47"/>
        </w:numPr>
        <w:contextualSpacing w:val="0"/>
        <w:jc w:val="both"/>
        <w:rPr>
          <w:lang w:eastAsia="ja-JP"/>
        </w:rPr>
      </w:pPr>
      <w:r>
        <w:rPr>
          <w:rFonts w:hint="eastAsia"/>
          <w:lang w:eastAsia="ja-JP"/>
        </w:rPr>
        <w:t xml:space="preserve">Draft amendments to list of </w:t>
      </w:r>
      <w:r>
        <w:rPr>
          <w:lang w:eastAsia="ja-JP"/>
        </w:rPr>
        <w:t>certificates</w:t>
      </w:r>
      <w:r>
        <w:rPr>
          <w:rFonts w:hint="eastAsia"/>
          <w:lang w:eastAsia="ja-JP"/>
        </w:rPr>
        <w:t xml:space="preserve"> and documents required to be carried on board ships, 2022 (FAL.2/Circ.133, MEPC.1/Circ.902, MSC.1/Circ.1646, LEG.2/Circ.4)</w:t>
      </w:r>
    </w:p>
    <w:p w14:paraId="7D8163AE" w14:textId="77777777" w:rsidR="00ED6968" w:rsidRDefault="00ED6968" w:rsidP="00ED6968">
      <w:pPr>
        <w:pStyle w:val="ListParagraph"/>
        <w:ind w:left="1731"/>
        <w:rPr>
          <w:lang w:eastAsia="ja-JP"/>
        </w:rPr>
      </w:pPr>
    </w:p>
    <w:p w14:paraId="67D9F821" w14:textId="06231DC1" w:rsidR="00ED6968" w:rsidRDefault="00ED6968" w:rsidP="00ED6968">
      <w:pPr>
        <w:pStyle w:val="ListParagraph"/>
        <w:numPr>
          <w:ilvl w:val="0"/>
          <w:numId w:val="47"/>
        </w:numPr>
        <w:contextualSpacing w:val="0"/>
        <w:jc w:val="both"/>
        <w:rPr>
          <w:lang w:eastAsia="ja-JP"/>
        </w:rPr>
      </w:pPr>
      <w:r>
        <w:rPr>
          <w:rFonts w:hint="eastAsia"/>
          <w:lang w:eastAsia="ja-JP"/>
        </w:rPr>
        <w:t>Draft amendments to guidelines for the harmonization of GMDSS requirements for radio installations on board SOLAS ships (COMSAR.1/Circ.32/Rev.2)</w:t>
      </w:r>
    </w:p>
    <w:p w14:paraId="3010F5D0" w14:textId="77777777" w:rsidR="00ED6968" w:rsidRDefault="00ED6968" w:rsidP="00ED6968">
      <w:pPr>
        <w:pStyle w:val="ListParagraph"/>
        <w:ind w:left="1731"/>
        <w:rPr>
          <w:lang w:eastAsia="ja-JP"/>
        </w:rPr>
      </w:pPr>
    </w:p>
    <w:p w14:paraId="15B2EEA7" w14:textId="75467928" w:rsidR="00ED6968" w:rsidRDefault="00ED6968" w:rsidP="00ED6968">
      <w:pPr>
        <w:pStyle w:val="ListParagraph"/>
        <w:numPr>
          <w:ilvl w:val="0"/>
          <w:numId w:val="47"/>
        </w:numPr>
        <w:contextualSpacing w:val="0"/>
        <w:jc w:val="both"/>
        <w:rPr>
          <w:lang w:eastAsia="ja-JP"/>
        </w:rPr>
      </w:pPr>
      <w:r>
        <w:rPr>
          <w:rFonts w:hint="eastAsia"/>
          <w:lang w:eastAsia="ja-JP"/>
        </w:rPr>
        <w:t>Draft amendments to AIS safety-related messaging (COMSAR.1/Circ.46)</w:t>
      </w:r>
    </w:p>
    <w:p w14:paraId="0C7A3817" w14:textId="77777777" w:rsidR="00ED6968" w:rsidRDefault="00ED6968" w:rsidP="00ED6968">
      <w:pPr>
        <w:pStyle w:val="ListParagraph"/>
        <w:ind w:left="1731"/>
        <w:rPr>
          <w:lang w:eastAsia="ja-JP"/>
        </w:rPr>
      </w:pPr>
    </w:p>
    <w:p w14:paraId="47C67F68" w14:textId="18BC6C20" w:rsidR="00ED6968" w:rsidRDefault="00ED6968" w:rsidP="00ED6968">
      <w:pPr>
        <w:pStyle w:val="ListParagraph"/>
        <w:numPr>
          <w:ilvl w:val="0"/>
          <w:numId w:val="47"/>
        </w:numPr>
        <w:contextualSpacing w:val="0"/>
        <w:jc w:val="both"/>
        <w:rPr>
          <w:lang w:eastAsia="ja-JP"/>
        </w:rPr>
      </w:pPr>
      <w:r>
        <w:rPr>
          <w:rFonts w:hint="eastAsia"/>
          <w:lang w:eastAsia="ja-JP"/>
        </w:rPr>
        <w:t xml:space="preserve">Draft amendments to guidelines for the installation of a </w:t>
      </w:r>
      <w:r>
        <w:rPr>
          <w:lang w:eastAsia="ja-JP"/>
        </w:rPr>
        <w:t>shipborne</w:t>
      </w:r>
      <w:r>
        <w:rPr>
          <w:rFonts w:hint="eastAsia"/>
          <w:lang w:eastAsia="ja-JP"/>
        </w:rPr>
        <w:t xml:space="preserve"> automatic identification system (AIS), as amended (SN.1/Circ.227 and SN.1/Circ.245)</w:t>
      </w:r>
    </w:p>
    <w:p w14:paraId="25128356" w14:textId="77777777" w:rsidR="00ED6968" w:rsidRPr="003D0A6C" w:rsidRDefault="00ED6968" w:rsidP="00ED6968">
      <w:pPr>
        <w:pStyle w:val="ListParagraph"/>
        <w:ind w:left="1731"/>
        <w:rPr>
          <w:lang w:eastAsia="ja-JP"/>
        </w:rPr>
      </w:pPr>
    </w:p>
    <w:p w14:paraId="524549D1" w14:textId="16E74D00" w:rsidR="00ED6968" w:rsidRDefault="00ED6968" w:rsidP="00ED6968">
      <w:pPr>
        <w:pStyle w:val="ListParagraph"/>
        <w:numPr>
          <w:ilvl w:val="0"/>
          <w:numId w:val="47"/>
        </w:numPr>
        <w:contextualSpacing w:val="0"/>
        <w:jc w:val="both"/>
        <w:rPr>
          <w:lang w:eastAsia="ja-JP"/>
        </w:rPr>
      </w:pPr>
      <w:r>
        <w:rPr>
          <w:rFonts w:hint="eastAsia"/>
          <w:lang w:eastAsia="ja-JP"/>
        </w:rPr>
        <w:t xml:space="preserve">Draft amendments to guideline for the presentation of navigation-related symbols, terms and </w:t>
      </w:r>
      <w:r>
        <w:rPr>
          <w:lang w:eastAsia="ja-JP"/>
        </w:rPr>
        <w:t>abbreviations</w:t>
      </w:r>
      <w:r>
        <w:rPr>
          <w:rFonts w:hint="eastAsia"/>
          <w:lang w:eastAsia="ja-JP"/>
        </w:rPr>
        <w:t xml:space="preserve"> (SN.1/Circ.243/Rev.2)</w:t>
      </w:r>
    </w:p>
    <w:p w14:paraId="472DAD05" w14:textId="77777777" w:rsidR="00ED6968" w:rsidRDefault="00ED6968" w:rsidP="00ED6968">
      <w:pPr>
        <w:pStyle w:val="ListParagraph"/>
        <w:ind w:left="1731"/>
        <w:rPr>
          <w:lang w:eastAsia="ja-JP"/>
        </w:rPr>
      </w:pPr>
    </w:p>
    <w:p w14:paraId="3E536757" w14:textId="2AE1563C" w:rsidR="00ED6968" w:rsidRDefault="00ED6968" w:rsidP="00ED6968">
      <w:pPr>
        <w:pStyle w:val="ListParagraph"/>
        <w:numPr>
          <w:ilvl w:val="0"/>
          <w:numId w:val="47"/>
        </w:numPr>
        <w:contextualSpacing w:val="0"/>
        <w:jc w:val="both"/>
        <w:rPr>
          <w:lang w:eastAsia="ja-JP"/>
        </w:rPr>
      </w:pPr>
      <w:r>
        <w:rPr>
          <w:rFonts w:hint="eastAsia"/>
          <w:lang w:eastAsia="ja-JP"/>
        </w:rPr>
        <w:t>Draft amendments to guidance on the use of the UN/LOCODE in the destination field in AIS message (SN.1/Circ.244)</w:t>
      </w:r>
    </w:p>
    <w:p w14:paraId="20B05C3C" w14:textId="77777777" w:rsidR="00ED6968" w:rsidRDefault="00ED6968" w:rsidP="00ED6968">
      <w:pPr>
        <w:pStyle w:val="ListParagraph"/>
        <w:ind w:left="1731"/>
        <w:rPr>
          <w:lang w:eastAsia="ja-JP"/>
        </w:rPr>
      </w:pPr>
    </w:p>
    <w:p w14:paraId="28CF254B" w14:textId="25E05A1C" w:rsidR="00ED6968" w:rsidRDefault="00ED6968" w:rsidP="00ED6968">
      <w:pPr>
        <w:pStyle w:val="ListParagraph"/>
        <w:numPr>
          <w:ilvl w:val="0"/>
          <w:numId w:val="47"/>
        </w:numPr>
        <w:contextualSpacing w:val="0"/>
        <w:jc w:val="both"/>
        <w:rPr>
          <w:lang w:eastAsia="ja-JP"/>
        </w:rPr>
      </w:pPr>
      <w:r>
        <w:rPr>
          <w:rFonts w:hint="eastAsia"/>
          <w:lang w:eastAsia="ja-JP"/>
        </w:rPr>
        <w:t>Draft amendments to guidance on the use of AIS application-specific messages (SN.1/Circ.289)</w:t>
      </w:r>
    </w:p>
    <w:p w14:paraId="2DD66A44" w14:textId="77777777" w:rsidR="00ED6968" w:rsidRDefault="00ED6968" w:rsidP="00ED6968">
      <w:pPr>
        <w:pStyle w:val="ListParagraph"/>
        <w:ind w:left="1731"/>
        <w:rPr>
          <w:lang w:eastAsia="ja-JP"/>
        </w:rPr>
      </w:pPr>
    </w:p>
    <w:p w14:paraId="15B77923" w14:textId="07D12266" w:rsidR="00ED6968" w:rsidRDefault="00ED6968" w:rsidP="00ED6968">
      <w:pPr>
        <w:pStyle w:val="ListParagraph"/>
        <w:numPr>
          <w:ilvl w:val="0"/>
          <w:numId w:val="47"/>
        </w:numPr>
        <w:contextualSpacing w:val="0"/>
        <w:jc w:val="both"/>
        <w:rPr>
          <w:lang w:eastAsia="ja-JP"/>
        </w:rPr>
      </w:pPr>
      <w:r>
        <w:rPr>
          <w:rFonts w:hint="eastAsia"/>
          <w:lang w:eastAsia="ja-JP"/>
        </w:rPr>
        <w:lastRenderedPageBreak/>
        <w:t>Draft amendments to guidance for the presentation and display of AIS application-specific messages information (SN.1/Circ.290)</w:t>
      </w:r>
    </w:p>
    <w:p w14:paraId="1F53092D" w14:textId="77777777" w:rsidR="004A6751" w:rsidRPr="00ED6968" w:rsidRDefault="004A6751" w:rsidP="004A6751">
      <w:pPr>
        <w:pStyle w:val="BodyText"/>
        <w:ind w:leftChars="200" w:left="440"/>
        <w:rPr>
          <w:rFonts w:ascii="Calibri" w:hAnsi="Calibri"/>
          <w:lang w:eastAsia="ja-JP"/>
        </w:rPr>
      </w:pPr>
    </w:p>
    <w:p w14:paraId="3232A9C5" w14:textId="1177514D" w:rsidR="00EB276E" w:rsidRDefault="00F27073" w:rsidP="00A446C9">
      <w:pPr>
        <w:pStyle w:val="BodyText"/>
        <w:rPr>
          <w:rFonts w:ascii="Calibri" w:hAnsi="Calibri"/>
          <w:lang w:eastAsia="ja-JP"/>
        </w:rPr>
      </w:pPr>
      <w:r>
        <w:rPr>
          <w:rFonts w:ascii="Calibri" w:hAnsi="Calibri" w:hint="eastAsia"/>
          <w:lang w:eastAsia="ja-JP"/>
        </w:rPr>
        <w:t xml:space="preserve">Most of instruments can be amended by </w:t>
      </w:r>
      <w:r w:rsidR="00EB276E">
        <w:rPr>
          <w:rFonts w:ascii="Calibri" w:hAnsi="Calibri" w:hint="eastAsia"/>
          <w:lang w:eastAsia="ja-JP"/>
        </w:rPr>
        <w:t xml:space="preserve">just </w:t>
      </w:r>
      <w:r>
        <w:rPr>
          <w:rFonts w:ascii="Calibri" w:hAnsi="Calibri" w:hint="eastAsia"/>
          <w:lang w:eastAsia="ja-JP"/>
        </w:rPr>
        <w:t xml:space="preserve">adding </w:t>
      </w:r>
      <w:r>
        <w:rPr>
          <w:rFonts w:ascii="Calibri" w:hAnsi="Calibri"/>
          <w:lang w:eastAsia="ja-JP"/>
        </w:rPr>
        <w:t>“</w:t>
      </w:r>
      <w:r>
        <w:rPr>
          <w:rFonts w:ascii="Calibri" w:hAnsi="Calibri" w:hint="eastAsia"/>
          <w:lang w:eastAsia="ja-JP"/>
        </w:rPr>
        <w:t>or VDES</w:t>
      </w:r>
      <w:r>
        <w:rPr>
          <w:rFonts w:ascii="Calibri" w:hAnsi="Calibri"/>
          <w:lang w:eastAsia="ja-JP"/>
        </w:rPr>
        <w:t>”</w:t>
      </w:r>
      <w:r w:rsidR="00EB276E">
        <w:rPr>
          <w:rFonts w:ascii="Calibri" w:hAnsi="Calibri" w:hint="eastAsia"/>
          <w:lang w:eastAsia="ja-JP"/>
        </w:rPr>
        <w:t xml:space="preserve"> but other instruments, especially those related to AIS function, need more complicated amendments such as;</w:t>
      </w:r>
    </w:p>
    <w:p w14:paraId="4EB0514F" w14:textId="5CA7BEB6" w:rsidR="004A6751" w:rsidRPr="00EB276E" w:rsidRDefault="004A6751" w:rsidP="00EB276E">
      <w:pPr>
        <w:pStyle w:val="BodyText"/>
        <w:rPr>
          <w:rFonts w:ascii="Calibri" w:hAnsi="Calibri"/>
          <w:lang w:eastAsia="ja-JP"/>
        </w:rPr>
      </w:pPr>
    </w:p>
    <w:p w14:paraId="463F1AD7" w14:textId="6B19ED20" w:rsidR="00EB276E" w:rsidRDefault="00EB276E" w:rsidP="00EB276E">
      <w:pPr>
        <w:pStyle w:val="BodyText"/>
        <w:numPr>
          <w:ilvl w:val="0"/>
          <w:numId w:val="48"/>
        </w:numPr>
        <w:rPr>
          <w:rFonts w:ascii="Calibri" w:hAnsi="Calibri"/>
          <w:lang w:eastAsia="ja-JP"/>
        </w:rPr>
      </w:pPr>
      <w:r>
        <w:rPr>
          <w:rFonts w:ascii="Calibri" w:hAnsi="Calibri" w:hint="eastAsia"/>
          <w:lang w:eastAsia="ja-JP"/>
        </w:rPr>
        <w:t>T</w:t>
      </w:r>
      <w:r w:rsidRPr="00EB276E">
        <w:rPr>
          <w:rFonts w:ascii="Calibri" w:hAnsi="Calibri"/>
          <w:lang w:eastAsia="ja-JP"/>
        </w:rPr>
        <w:t xml:space="preserve">he recommendation on performance standards for </w:t>
      </w:r>
      <w:proofErr w:type="gramStart"/>
      <w:r w:rsidRPr="00EB276E">
        <w:rPr>
          <w:rFonts w:ascii="Calibri" w:hAnsi="Calibri"/>
          <w:lang w:eastAsia="ja-JP"/>
        </w:rPr>
        <w:t>an</w:t>
      </w:r>
      <w:proofErr w:type="gramEnd"/>
      <w:r w:rsidRPr="00EB276E">
        <w:rPr>
          <w:rFonts w:ascii="Calibri" w:hAnsi="Calibri"/>
          <w:lang w:eastAsia="ja-JP"/>
        </w:rPr>
        <w:t xml:space="preserve"> universal shipborne automatic identification system (AIS) (Resolution MSC.74(69), annex 3)</w:t>
      </w:r>
      <w:r>
        <w:rPr>
          <w:rFonts w:ascii="Calibri" w:hAnsi="Calibri" w:hint="eastAsia"/>
          <w:lang w:eastAsia="ja-JP"/>
        </w:rPr>
        <w:t>;</w:t>
      </w:r>
    </w:p>
    <w:p w14:paraId="216D1E1C" w14:textId="3D3BA6FD" w:rsidR="00EB276E" w:rsidRDefault="00005250" w:rsidP="00EB276E">
      <w:pPr>
        <w:pStyle w:val="BodyText"/>
        <w:numPr>
          <w:ilvl w:val="0"/>
          <w:numId w:val="48"/>
        </w:numPr>
        <w:rPr>
          <w:rFonts w:ascii="Calibri" w:hAnsi="Calibri"/>
          <w:lang w:eastAsia="ja-JP"/>
        </w:rPr>
      </w:pPr>
      <w:r>
        <w:rPr>
          <w:rFonts w:ascii="Calibri" w:hAnsi="Calibri" w:hint="eastAsia"/>
          <w:lang w:eastAsia="ja-JP"/>
        </w:rPr>
        <w:t>G</w:t>
      </w:r>
      <w:r w:rsidRPr="00005250">
        <w:rPr>
          <w:rFonts w:ascii="Calibri" w:hAnsi="Calibri"/>
          <w:lang w:eastAsia="ja-JP"/>
        </w:rPr>
        <w:t>uidelines on annual testing of the automatic identification system (AIS) (MSC.1/Circ.1252)</w:t>
      </w:r>
      <w:r>
        <w:rPr>
          <w:rFonts w:ascii="Calibri" w:hAnsi="Calibri" w:hint="eastAsia"/>
          <w:lang w:eastAsia="ja-JP"/>
        </w:rPr>
        <w:t>;</w:t>
      </w:r>
      <w:r w:rsidR="00DF52FE">
        <w:rPr>
          <w:rFonts w:ascii="Calibri" w:hAnsi="Calibri" w:hint="eastAsia"/>
          <w:lang w:eastAsia="ja-JP"/>
        </w:rPr>
        <w:t xml:space="preserve"> and</w:t>
      </w:r>
    </w:p>
    <w:p w14:paraId="655746DE" w14:textId="77777777" w:rsidR="00DF52FE" w:rsidRPr="00DF52FE" w:rsidRDefault="00DF52FE" w:rsidP="00DF52FE">
      <w:pPr>
        <w:pStyle w:val="ListParagraph"/>
        <w:numPr>
          <w:ilvl w:val="0"/>
          <w:numId w:val="48"/>
        </w:numPr>
        <w:rPr>
          <w:rFonts w:ascii="Calibri" w:hAnsi="Calibri"/>
          <w:lang w:eastAsia="ja-JP"/>
        </w:rPr>
      </w:pPr>
      <w:r w:rsidRPr="00DF52FE">
        <w:rPr>
          <w:rFonts w:ascii="Calibri" w:hAnsi="Calibri"/>
          <w:lang w:eastAsia="ja-JP"/>
        </w:rPr>
        <w:t>Draft amendments to guidance on the use of AIS application-specific messages (SN.1/Circ.289)</w:t>
      </w:r>
    </w:p>
    <w:p w14:paraId="67AB8A88" w14:textId="77777777" w:rsidR="00EB276E" w:rsidRPr="00F27073" w:rsidRDefault="00EB276E" w:rsidP="00EB276E">
      <w:pPr>
        <w:pStyle w:val="BodyText"/>
        <w:rPr>
          <w:rFonts w:ascii="Calibri" w:hAnsi="Calibri"/>
          <w:lang w:eastAsia="ja-JP"/>
        </w:rPr>
      </w:pPr>
    </w:p>
    <w:p w14:paraId="7A8D2F27" w14:textId="77777777" w:rsidR="00A446C9" w:rsidRPr="007A395D" w:rsidRDefault="00A446C9" w:rsidP="00605E43">
      <w:pPr>
        <w:pStyle w:val="Heading1"/>
      </w:pPr>
      <w:r w:rsidRPr="007A395D">
        <w:t>Action requested of the Committee</w:t>
      </w:r>
    </w:p>
    <w:p w14:paraId="1556E528" w14:textId="6FE788FC" w:rsidR="00F25BF4" w:rsidRPr="007A395D" w:rsidRDefault="00F25BF4" w:rsidP="00A446C9">
      <w:pPr>
        <w:pStyle w:val="BodyText"/>
        <w:rPr>
          <w:rFonts w:ascii="Calibri" w:hAnsi="Calibri"/>
          <w:lang w:eastAsia="ja-JP"/>
        </w:rPr>
      </w:pPr>
      <w:r w:rsidRPr="007A395D">
        <w:rPr>
          <w:rFonts w:ascii="Calibri" w:hAnsi="Calibri"/>
        </w:rPr>
        <w:t>The Committee is requested to</w:t>
      </w:r>
      <w:r w:rsidR="00DF52FE">
        <w:rPr>
          <w:rFonts w:ascii="Calibri" w:hAnsi="Calibri" w:hint="eastAsia"/>
          <w:lang w:eastAsia="ja-JP"/>
        </w:rPr>
        <w:t xml:space="preserve"> consider the attached correspondence group report and act as appropriate.</w:t>
      </w:r>
    </w:p>
    <w:p w14:paraId="5E201BEE" w14:textId="77777777" w:rsidR="004D1D85" w:rsidRDefault="004D1D85" w:rsidP="004D1D85">
      <w:pPr>
        <w:pStyle w:val="List1"/>
        <w:numPr>
          <w:ilvl w:val="0"/>
          <w:numId w:val="0"/>
        </w:numPr>
        <w:ind w:left="567" w:hanging="567"/>
        <w:rPr>
          <w:rFonts w:ascii="Calibri" w:hAnsi="Calibri"/>
        </w:rPr>
      </w:pPr>
    </w:p>
    <w:p w14:paraId="16AE6650" w14:textId="6700E67A" w:rsidR="004D1D85" w:rsidRPr="007A395D" w:rsidRDefault="004D1D85" w:rsidP="00DF52FE">
      <w:pPr>
        <w:pStyle w:val="AnnexHeading3"/>
        <w:numPr>
          <w:ilvl w:val="0"/>
          <w:numId w:val="0"/>
        </w:numPr>
        <w:rPr>
          <w:rFonts w:ascii="Calibri" w:hAnsi="Calibri"/>
          <w:lang w:eastAsia="en-US"/>
        </w:rPr>
      </w:pPr>
    </w:p>
    <w:sectPr w:rsidR="004D1D85" w:rsidRPr="007A395D"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1234ED" w14:textId="77777777" w:rsidR="00D62AC9" w:rsidRDefault="00D62AC9" w:rsidP="00362CD9">
      <w:r>
        <w:separator/>
      </w:r>
    </w:p>
  </w:endnote>
  <w:endnote w:type="continuationSeparator" w:id="0">
    <w:p w14:paraId="53F45247" w14:textId="77777777" w:rsidR="00D62AC9" w:rsidRDefault="00D62AC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2F62926C" w:rsidR="00362CD9" w:rsidRPr="00036B9E" w:rsidRDefault="00B16504">
    <w:pPr>
      <w:pStyle w:val="Footer"/>
      <w:rPr>
        <w:rFonts w:ascii="Calibri" w:hAnsi="Calibri"/>
      </w:rPr>
    </w:pPr>
    <w:r>
      <w:rPr>
        <w:rFonts w:ascii="Calibri" w:hAnsi="Calibri" w:hint="eastAsia"/>
        <w:lang w:eastAsia="ja-JP"/>
      </w:rPr>
      <w:t>VDES correspondence group report to NCSR12</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D45C94" w14:textId="77777777" w:rsidR="00D62AC9" w:rsidRDefault="00D62AC9" w:rsidP="00362CD9">
      <w:r>
        <w:separator/>
      </w:r>
    </w:p>
  </w:footnote>
  <w:footnote w:type="continuationSeparator" w:id="0">
    <w:p w14:paraId="7C379089" w14:textId="77777777" w:rsidR="00D62AC9" w:rsidRDefault="00D62AC9" w:rsidP="00362CD9">
      <w:r>
        <w:continuationSeparator/>
      </w:r>
    </w:p>
  </w:footnote>
  <w:footnote w:id="1">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698C3CEE"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123700809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1934255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0842624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25E7244"/>
    <w:multiLevelType w:val="hybridMultilevel"/>
    <w:tmpl w:val="AB7E8278"/>
    <w:lvl w:ilvl="0" w:tplc="E2C2ACBC">
      <w:start w:val="1"/>
      <w:numFmt w:val="decimal"/>
      <w:lvlText w:val=".%1"/>
      <w:lvlJc w:val="left"/>
      <w:pPr>
        <w:ind w:left="1291" w:hanging="440"/>
      </w:pPr>
      <w:rPr>
        <w:rFonts w:hint="eastAsia"/>
      </w:rPr>
    </w:lvl>
    <w:lvl w:ilvl="1" w:tplc="04090017" w:tentative="1">
      <w:start w:val="1"/>
      <w:numFmt w:val="aiueoFullWidth"/>
      <w:lvlText w:val="(%2)"/>
      <w:lvlJc w:val="left"/>
      <w:pPr>
        <w:ind w:left="1731" w:hanging="440"/>
      </w:pPr>
    </w:lvl>
    <w:lvl w:ilvl="2" w:tplc="04090011" w:tentative="1">
      <w:start w:val="1"/>
      <w:numFmt w:val="decimalEnclosedCircle"/>
      <w:lvlText w:val="%3"/>
      <w:lvlJc w:val="left"/>
      <w:pPr>
        <w:ind w:left="2171" w:hanging="440"/>
      </w:pPr>
    </w:lvl>
    <w:lvl w:ilvl="3" w:tplc="0409000F" w:tentative="1">
      <w:start w:val="1"/>
      <w:numFmt w:val="decimal"/>
      <w:lvlText w:val="%4."/>
      <w:lvlJc w:val="left"/>
      <w:pPr>
        <w:ind w:left="2611" w:hanging="440"/>
      </w:pPr>
    </w:lvl>
    <w:lvl w:ilvl="4" w:tplc="04090017" w:tentative="1">
      <w:start w:val="1"/>
      <w:numFmt w:val="aiueoFullWidth"/>
      <w:lvlText w:val="(%5)"/>
      <w:lvlJc w:val="left"/>
      <w:pPr>
        <w:ind w:left="3051" w:hanging="440"/>
      </w:pPr>
    </w:lvl>
    <w:lvl w:ilvl="5" w:tplc="04090011" w:tentative="1">
      <w:start w:val="1"/>
      <w:numFmt w:val="decimalEnclosedCircle"/>
      <w:lvlText w:val="%6"/>
      <w:lvlJc w:val="left"/>
      <w:pPr>
        <w:ind w:left="3491" w:hanging="440"/>
      </w:pPr>
    </w:lvl>
    <w:lvl w:ilvl="6" w:tplc="0409000F" w:tentative="1">
      <w:start w:val="1"/>
      <w:numFmt w:val="decimal"/>
      <w:lvlText w:val="%7."/>
      <w:lvlJc w:val="left"/>
      <w:pPr>
        <w:ind w:left="3931" w:hanging="440"/>
      </w:pPr>
    </w:lvl>
    <w:lvl w:ilvl="7" w:tplc="04090017" w:tentative="1">
      <w:start w:val="1"/>
      <w:numFmt w:val="aiueoFullWidth"/>
      <w:lvlText w:val="(%8)"/>
      <w:lvlJc w:val="left"/>
      <w:pPr>
        <w:ind w:left="4371" w:hanging="440"/>
      </w:pPr>
    </w:lvl>
    <w:lvl w:ilvl="8" w:tplc="04090011" w:tentative="1">
      <w:start w:val="1"/>
      <w:numFmt w:val="decimalEnclosedCircle"/>
      <w:lvlText w:val="%9"/>
      <w:lvlJc w:val="left"/>
      <w:pPr>
        <w:ind w:left="4811" w:hanging="440"/>
      </w:pPr>
    </w:lvl>
  </w:abstractNum>
  <w:abstractNum w:abstractNumId="3"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4CA5A31"/>
    <w:multiLevelType w:val="hybridMultilevel"/>
    <w:tmpl w:val="EC68D0BE"/>
    <w:lvl w:ilvl="0" w:tplc="FFFFFFFF">
      <w:start w:val="1"/>
      <w:numFmt w:val="decimal"/>
      <w:lvlText w:val=".%1"/>
      <w:lvlJc w:val="left"/>
      <w:pPr>
        <w:ind w:left="1731" w:hanging="440"/>
      </w:pPr>
      <w:rPr>
        <w:rFonts w:hint="eastAsia"/>
      </w:rPr>
    </w:lvl>
    <w:lvl w:ilvl="1" w:tplc="FFFFFFFF" w:tentative="1">
      <w:start w:val="1"/>
      <w:numFmt w:val="aiueoFullWidth"/>
      <w:lvlText w:val="(%2)"/>
      <w:lvlJc w:val="left"/>
      <w:pPr>
        <w:ind w:left="2171" w:hanging="440"/>
      </w:pPr>
    </w:lvl>
    <w:lvl w:ilvl="2" w:tplc="FFFFFFFF" w:tentative="1">
      <w:start w:val="1"/>
      <w:numFmt w:val="decimalEnclosedCircle"/>
      <w:lvlText w:val="%3"/>
      <w:lvlJc w:val="left"/>
      <w:pPr>
        <w:ind w:left="2611" w:hanging="440"/>
      </w:pPr>
    </w:lvl>
    <w:lvl w:ilvl="3" w:tplc="FFFFFFFF" w:tentative="1">
      <w:start w:val="1"/>
      <w:numFmt w:val="decimal"/>
      <w:lvlText w:val="%4."/>
      <w:lvlJc w:val="left"/>
      <w:pPr>
        <w:ind w:left="3051" w:hanging="440"/>
      </w:pPr>
    </w:lvl>
    <w:lvl w:ilvl="4" w:tplc="FFFFFFFF" w:tentative="1">
      <w:start w:val="1"/>
      <w:numFmt w:val="aiueoFullWidth"/>
      <w:lvlText w:val="(%5)"/>
      <w:lvlJc w:val="left"/>
      <w:pPr>
        <w:ind w:left="3491" w:hanging="440"/>
      </w:pPr>
    </w:lvl>
    <w:lvl w:ilvl="5" w:tplc="FFFFFFFF" w:tentative="1">
      <w:start w:val="1"/>
      <w:numFmt w:val="decimalEnclosedCircle"/>
      <w:lvlText w:val="%6"/>
      <w:lvlJc w:val="left"/>
      <w:pPr>
        <w:ind w:left="3931" w:hanging="440"/>
      </w:pPr>
    </w:lvl>
    <w:lvl w:ilvl="6" w:tplc="FFFFFFFF" w:tentative="1">
      <w:start w:val="1"/>
      <w:numFmt w:val="decimal"/>
      <w:lvlText w:val="%7."/>
      <w:lvlJc w:val="left"/>
      <w:pPr>
        <w:ind w:left="4371" w:hanging="440"/>
      </w:pPr>
    </w:lvl>
    <w:lvl w:ilvl="7" w:tplc="FFFFFFFF" w:tentative="1">
      <w:start w:val="1"/>
      <w:numFmt w:val="aiueoFullWidth"/>
      <w:lvlText w:val="(%8)"/>
      <w:lvlJc w:val="left"/>
      <w:pPr>
        <w:ind w:left="4811" w:hanging="440"/>
      </w:pPr>
    </w:lvl>
    <w:lvl w:ilvl="8" w:tplc="FFFFFFFF" w:tentative="1">
      <w:start w:val="1"/>
      <w:numFmt w:val="decimalEnclosedCircle"/>
      <w:lvlText w:val="%9"/>
      <w:lvlJc w:val="left"/>
      <w:pPr>
        <w:ind w:left="5251" w:hanging="440"/>
      </w:pPr>
    </w:lvl>
  </w:abstractNum>
  <w:abstractNum w:abstractNumId="5"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6"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6E86910"/>
    <w:multiLevelType w:val="hybridMultilevel"/>
    <w:tmpl w:val="EC68D0BE"/>
    <w:lvl w:ilvl="0" w:tplc="FFFFFFFF">
      <w:start w:val="1"/>
      <w:numFmt w:val="decimal"/>
      <w:lvlText w:val=".%1"/>
      <w:lvlJc w:val="left"/>
      <w:pPr>
        <w:ind w:left="1731" w:hanging="440"/>
      </w:pPr>
      <w:rPr>
        <w:rFonts w:hint="eastAsia"/>
      </w:rPr>
    </w:lvl>
    <w:lvl w:ilvl="1" w:tplc="FFFFFFFF" w:tentative="1">
      <w:start w:val="1"/>
      <w:numFmt w:val="aiueoFullWidth"/>
      <w:lvlText w:val="(%2)"/>
      <w:lvlJc w:val="left"/>
      <w:pPr>
        <w:ind w:left="2171" w:hanging="440"/>
      </w:pPr>
    </w:lvl>
    <w:lvl w:ilvl="2" w:tplc="FFFFFFFF" w:tentative="1">
      <w:start w:val="1"/>
      <w:numFmt w:val="decimalEnclosedCircle"/>
      <w:lvlText w:val="%3"/>
      <w:lvlJc w:val="left"/>
      <w:pPr>
        <w:ind w:left="2611" w:hanging="440"/>
      </w:pPr>
    </w:lvl>
    <w:lvl w:ilvl="3" w:tplc="FFFFFFFF" w:tentative="1">
      <w:start w:val="1"/>
      <w:numFmt w:val="decimal"/>
      <w:lvlText w:val="%4."/>
      <w:lvlJc w:val="left"/>
      <w:pPr>
        <w:ind w:left="3051" w:hanging="440"/>
      </w:pPr>
    </w:lvl>
    <w:lvl w:ilvl="4" w:tplc="FFFFFFFF" w:tentative="1">
      <w:start w:val="1"/>
      <w:numFmt w:val="aiueoFullWidth"/>
      <w:lvlText w:val="(%5)"/>
      <w:lvlJc w:val="left"/>
      <w:pPr>
        <w:ind w:left="3491" w:hanging="440"/>
      </w:pPr>
    </w:lvl>
    <w:lvl w:ilvl="5" w:tplc="FFFFFFFF" w:tentative="1">
      <w:start w:val="1"/>
      <w:numFmt w:val="decimalEnclosedCircle"/>
      <w:lvlText w:val="%6"/>
      <w:lvlJc w:val="left"/>
      <w:pPr>
        <w:ind w:left="3931" w:hanging="440"/>
      </w:pPr>
    </w:lvl>
    <w:lvl w:ilvl="6" w:tplc="FFFFFFFF" w:tentative="1">
      <w:start w:val="1"/>
      <w:numFmt w:val="decimal"/>
      <w:lvlText w:val="%7."/>
      <w:lvlJc w:val="left"/>
      <w:pPr>
        <w:ind w:left="4371" w:hanging="440"/>
      </w:pPr>
    </w:lvl>
    <w:lvl w:ilvl="7" w:tplc="FFFFFFFF" w:tentative="1">
      <w:start w:val="1"/>
      <w:numFmt w:val="aiueoFullWidth"/>
      <w:lvlText w:val="(%8)"/>
      <w:lvlJc w:val="left"/>
      <w:pPr>
        <w:ind w:left="4811" w:hanging="440"/>
      </w:pPr>
    </w:lvl>
    <w:lvl w:ilvl="8" w:tplc="FFFFFFFF" w:tentative="1">
      <w:start w:val="1"/>
      <w:numFmt w:val="decimalEnclosedCircle"/>
      <w:lvlText w:val="%9"/>
      <w:lvlJc w:val="left"/>
      <w:pPr>
        <w:ind w:left="5251" w:hanging="440"/>
      </w:p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8" w15:restartNumberingAfterBreak="0">
    <w:nsid w:val="78F17E3A"/>
    <w:multiLevelType w:val="hybridMultilevel"/>
    <w:tmpl w:val="A5448E52"/>
    <w:lvl w:ilvl="0" w:tplc="ACEC711E">
      <w:start w:val="3"/>
      <w:numFmt w:val="bullet"/>
      <w:lvlText w:val="•"/>
      <w:lvlJc w:val="left"/>
      <w:pPr>
        <w:ind w:left="1100" w:hanging="440"/>
      </w:pPr>
      <w:rPr>
        <w:rFonts w:ascii="Arial" w:eastAsiaTheme="minorEastAsia" w:hAnsi="Arial" w:cs="Arial" w:hint="default"/>
      </w:rPr>
    </w:lvl>
    <w:lvl w:ilvl="1" w:tplc="0409000B" w:tentative="1">
      <w:start w:val="1"/>
      <w:numFmt w:val="bullet"/>
      <w:lvlText w:val=""/>
      <w:lvlJc w:val="left"/>
      <w:pPr>
        <w:ind w:left="1540" w:hanging="440"/>
      </w:pPr>
      <w:rPr>
        <w:rFonts w:ascii="Wingdings" w:hAnsi="Wingdings" w:hint="default"/>
      </w:rPr>
    </w:lvl>
    <w:lvl w:ilvl="2" w:tplc="0409000D" w:tentative="1">
      <w:start w:val="1"/>
      <w:numFmt w:val="bullet"/>
      <w:lvlText w:val=""/>
      <w:lvlJc w:val="left"/>
      <w:pPr>
        <w:ind w:left="1980" w:hanging="440"/>
      </w:pPr>
      <w:rPr>
        <w:rFonts w:ascii="Wingdings" w:hAnsi="Wingdings" w:hint="default"/>
      </w:rPr>
    </w:lvl>
    <w:lvl w:ilvl="3" w:tplc="04090001" w:tentative="1">
      <w:start w:val="1"/>
      <w:numFmt w:val="bullet"/>
      <w:lvlText w:val=""/>
      <w:lvlJc w:val="left"/>
      <w:pPr>
        <w:ind w:left="2420" w:hanging="440"/>
      </w:pPr>
      <w:rPr>
        <w:rFonts w:ascii="Wingdings" w:hAnsi="Wingdings" w:hint="default"/>
      </w:rPr>
    </w:lvl>
    <w:lvl w:ilvl="4" w:tplc="0409000B" w:tentative="1">
      <w:start w:val="1"/>
      <w:numFmt w:val="bullet"/>
      <w:lvlText w:val=""/>
      <w:lvlJc w:val="left"/>
      <w:pPr>
        <w:ind w:left="2860" w:hanging="440"/>
      </w:pPr>
      <w:rPr>
        <w:rFonts w:ascii="Wingdings" w:hAnsi="Wingdings" w:hint="default"/>
      </w:rPr>
    </w:lvl>
    <w:lvl w:ilvl="5" w:tplc="0409000D" w:tentative="1">
      <w:start w:val="1"/>
      <w:numFmt w:val="bullet"/>
      <w:lvlText w:val=""/>
      <w:lvlJc w:val="left"/>
      <w:pPr>
        <w:ind w:left="3300" w:hanging="440"/>
      </w:pPr>
      <w:rPr>
        <w:rFonts w:ascii="Wingdings" w:hAnsi="Wingdings" w:hint="default"/>
      </w:rPr>
    </w:lvl>
    <w:lvl w:ilvl="6" w:tplc="04090001" w:tentative="1">
      <w:start w:val="1"/>
      <w:numFmt w:val="bullet"/>
      <w:lvlText w:val=""/>
      <w:lvlJc w:val="left"/>
      <w:pPr>
        <w:ind w:left="3740" w:hanging="440"/>
      </w:pPr>
      <w:rPr>
        <w:rFonts w:ascii="Wingdings" w:hAnsi="Wingdings" w:hint="default"/>
      </w:rPr>
    </w:lvl>
    <w:lvl w:ilvl="7" w:tplc="0409000B" w:tentative="1">
      <w:start w:val="1"/>
      <w:numFmt w:val="bullet"/>
      <w:lvlText w:val=""/>
      <w:lvlJc w:val="left"/>
      <w:pPr>
        <w:ind w:left="4180" w:hanging="440"/>
      </w:pPr>
      <w:rPr>
        <w:rFonts w:ascii="Wingdings" w:hAnsi="Wingdings" w:hint="default"/>
      </w:rPr>
    </w:lvl>
    <w:lvl w:ilvl="8" w:tplc="0409000D" w:tentative="1">
      <w:start w:val="1"/>
      <w:numFmt w:val="bullet"/>
      <w:lvlText w:val=""/>
      <w:lvlJc w:val="left"/>
      <w:pPr>
        <w:ind w:left="4620" w:hanging="440"/>
      </w:pPr>
      <w:rPr>
        <w:rFonts w:ascii="Wingdings" w:hAnsi="Wingdings" w:hint="default"/>
      </w:rPr>
    </w:lvl>
  </w:abstractNum>
  <w:num w:numId="1" w16cid:durableId="726152814">
    <w:abstractNumId w:val="1"/>
  </w:num>
  <w:num w:numId="2" w16cid:durableId="1695576799">
    <w:abstractNumId w:val="0"/>
  </w:num>
  <w:num w:numId="3" w16cid:durableId="1903365155">
    <w:abstractNumId w:val="9"/>
  </w:num>
  <w:num w:numId="4" w16cid:durableId="269556168">
    <w:abstractNumId w:val="24"/>
  </w:num>
  <w:num w:numId="5" w16cid:durableId="711004000">
    <w:abstractNumId w:val="18"/>
  </w:num>
  <w:num w:numId="6" w16cid:durableId="1543858341">
    <w:abstractNumId w:val="6"/>
  </w:num>
  <w:num w:numId="7" w16cid:durableId="1788694417">
    <w:abstractNumId w:val="26"/>
  </w:num>
  <w:num w:numId="8" w16cid:durableId="2038699354">
    <w:abstractNumId w:val="12"/>
  </w:num>
  <w:num w:numId="9" w16cid:durableId="2002155931">
    <w:abstractNumId w:val="10"/>
  </w:num>
  <w:num w:numId="10" w16cid:durableId="2001301283">
    <w:abstractNumId w:val="20"/>
  </w:num>
  <w:num w:numId="11" w16cid:durableId="2010475150">
    <w:abstractNumId w:val="19"/>
  </w:num>
  <w:num w:numId="12" w16cid:durableId="368528451">
    <w:abstractNumId w:val="17"/>
  </w:num>
  <w:num w:numId="13" w16cid:durableId="1936857749">
    <w:abstractNumId w:val="25"/>
  </w:num>
  <w:num w:numId="14" w16cid:durableId="16582795">
    <w:abstractNumId w:val="7"/>
  </w:num>
  <w:num w:numId="15" w16cid:durableId="507213867">
    <w:abstractNumId w:val="27"/>
  </w:num>
  <w:num w:numId="16" w16cid:durableId="830172775">
    <w:abstractNumId w:val="15"/>
  </w:num>
  <w:num w:numId="17" w16cid:durableId="1526405296">
    <w:abstractNumId w:val="8"/>
  </w:num>
  <w:num w:numId="18" w16cid:durableId="377124707">
    <w:abstractNumId w:val="22"/>
  </w:num>
  <w:num w:numId="19" w16cid:durableId="1040475323">
    <w:abstractNumId w:val="15"/>
  </w:num>
  <w:num w:numId="20" w16cid:durableId="1933540244">
    <w:abstractNumId w:val="15"/>
  </w:num>
  <w:num w:numId="21" w16cid:durableId="1215118617">
    <w:abstractNumId w:val="15"/>
  </w:num>
  <w:num w:numId="22" w16cid:durableId="1924534047">
    <w:abstractNumId w:val="15"/>
  </w:num>
  <w:num w:numId="23" w16cid:durableId="1817263245">
    <w:abstractNumId w:val="23"/>
  </w:num>
  <w:num w:numId="24" w16cid:durableId="154884725">
    <w:abstractNumId w:val="5"/>
  </w:num>
  <w:num w:numId="25" w16cid:durableId="1951551342">
    <w:abstractNumId w:val="5"/>
  </w:num>
  <w:num w:numId="26" w16cid:durableId="1636131864">
    <w:abstractNumId w:val="5"/>
  </w:num>
  <w:num w:numId="27" w16cid:durableId="300306270">
    <w:abstractNumId w:val="11"/>
  </w:num>
  <w:num w:numId="28" w16cid:durableId="1616211572">
    <w:abstractNumId w:val="11"/>
  </w:num>
  <w:num w:numId="29" w16cid:durableId="1084034714">
    <w:abstractNumId w:val="11"/>
  </w:num>
  <w:num w:numId="30" w16cid:durableId="570119002">
    <w:abstractNumId w:val="11"/>
  </w:num>
  <w:num w:numId="31" w16cid:durableId="1680236038">
    <w:abstractNumId w:val="11"/>
  </w:num>
  <w:num w:numId="32" w16cid:durableId="1834057155">
    <w:abstractNumId w:val="11"/>
  </w:num>
  <w:num w:numId="33" w16cid:durableId="2129814778">
    <w:abstractNumId w:val="21"/>
  </w:num>
  <w:num w:numId="34" w16cid:durableId="556210289">
    <w:abstractNumId w:val="21"/>
  </w:num>
  <w:num w:numId="35" w16cid:durableId="350767238">
    <w:abstractNumId w:val="21"/>
  </w:num>
  <w:num w:numId="36" w16cid:durableId="1621186948">
    <w:abstractNumId w:val="13"/>
  </w:num>
  <w:num w:numId="37" w16cid:durableId="1375539501">
    <w:abstractNumId w:val="7"/>
  </w:num>
  <w:num w:numId="38" w16cid:durableId="1008867666">
    <w:abstractNumId w:val="17"/>
  </w:num>
  <w:num w:numId="39" w16cid:durableId="16067659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1164426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52174883">
    <w:abstractNumId w:val="3"/>
  </w:num>
  <w:num w:numId="42" w16cid:durableId="5925157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06536704">
    <w:abstractNumId w:val="3"/>
  </w:num>
  <w:num w:numId="44" w16cid:durableId="1100295076">
    <w:abstractNumId w:val="14"/>
  </w:num>
  <w:num w:numId="45" w16cid:durableId="2108957794">
    <w:abstractNumId w:val="2"/>
  </w:num>
  <w:num w:numId="46" w16cid:durableId="1347561042">
    <w:abstractNumId w:val="4"/>
  </w:num>
  <w:num w:numId="47" w16cid:durableId="1731341758">
    <w:abstractNumId w:val="16"/>
  </w:num>
  <w:num w:numId="48" w16cid:durableId="1818105379">
    <w:abstractNumId w:val="2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05250"/>
    <w:rsid w:val="00026AAB"/>
    <w:rsid w:val="00036A03"/>
    <w:rsid w:val="00036B9E"/>
    <w:rsid w:val="00037DF4"/>
    <w:rsid w:val="0004700E"/>
    <w:rsid w:val="00070C13"/>
    <w:rsid w:val="000715C9"/>
    <w:rsid w:val="00084F33"/>
    <w:rsid w:val="000A77A7"/>
    <w:rsid w:val="000B1707"/>
    <w:rsid w:val="000C1B3E"/>
    <w:rsid w:val="000C349E"/>
    <w:rsid w:val="00110AE7"/>
    <w:rsid w:val="00177F4D"/>
    <w:rsid w:val="00180DDA"/>
    <w:rsid w:val="00181631"/>
    <w:rsid w:val="001839DC"/>
    <w:rsid w:val="001B2A2D"/>
    <w:rsid w:val="001B737D"/>
    <w:rsid w:val="001C44A3"/>
    <w:rsid w:val="001E0E15"/>
    <w:rsid w:val="001F528A"/>
    <w:rsid w:val="001F704E"/>
    <w:rsid w:val="00201722"/>
    <w:rsid w:val="00207777"/>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4611C"/>
    <w:rsid w:val="00356CD0"/>
    <w:rsid w:val="00362CD9"/>
    <w:rsid w:val="00371694"/>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751"/>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4CC6"/>
    <w:rsid w:val="00605E43"/>
    <w:rsid w:val="006153BB"/>
    <w:rsid w:val="0063268D"/>
    <w:rsid w:val="006652C3"/>
    <w:rsid w:val="00691FD0"/>
    <w:rsid w:val="00692148"/>
    <w:rsid w:val="006A1A1E"/>
    <w:rsid w:val="006C5948"/>
    <w:rsid w:val="006D3734"/>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74F"/>
    <w:rsid w:val="008D1694"/>
    <w:rsid w:val="008D6C1F"/>
    <w:rsid w:val="008D79CB"/>
    <w:rsid w:val="008F07BC"/>
    <w:rsid w:val="0091760D"/>
    <w:rsid w:val="0092692B"/>
    <w:rsid w:val="00930561"/>
    <w:rsid w:val="00943E9C"/>
    <w:rsid w:val="00953F4D"/>
    <w:rsid w:val="00960BB8"/>
    <w:rsid w:val="00964F5C"/>
    <w:rsid w:val="00973B57"/>
    <w:rsid w:val="00975353"/>
    <w:rsid w:val="00975900"/>
    <w:rsid w:val="009831C0"/>
    <w:rsid w:val="00987DF2"/>
    <w:rsid w:val="0099161D"/>
    <w:rsid w:val="00A0389B"/>
    <w:rsid w:val="00A33A3C"/>
    <w:rsid w:val="00A446C9"/>
    <w:rsid w:val="00A635D6"/>
    <w:rsid w:val="00A8553A"/>
    <w:rsid w:val="00A93AED"/>
    <w:rsid w:val="00AE1319"/>
    <w:rsid w:val="00AE34BB"/>
    <w:rsid w:val="00B16504"/>
    <w:rsid w:val="00B226F2"/>
    <w:rsid w:val="00B274DF"/>
    <w:rsid w:val="00B521B0"/>
    <w:rsid w:val="00B55D43"/>
    <w:rsid w:val="00B56BDF"/>
    <w:rsid w:val="00B61923"/>
    <w:rsid w:val="00B65812"/>
    <w:rsid w:val="00B766DC"/>
    <w:rsid w:val="00B85CD6"/>
    <w:rsid w:val="00B90A27"/>
    <w:rsid w:val="00B9554D"/>
    <w:rsid w:val="00BB2B9F"/>
    <w:rsid w:val="00BB7D9E"/>
    <w:rsid w:val="00BC2334"/>
    <w:rsid w:val="00BD3CB8"/>
    <w:rsid w:val="00BD4E6F"/>
    <w:rsid w:val="00BF32F0"/>
    <w:rsid w:val="00BF4DCE"/>
    <w:rsid w:val="00C05CE5"/>
    <w:rsid w:val="00C20245"/>
    <w:rsid w:val="00C6171E"/>
    <w:rsid w:val="00CA6F2C"/>
    <w:rsid w:val="00CD6A13"/>
    <w:rsid w:val="00CF1871"/>
    <w:rsid w:val="00D01874"/>
    <w:rsid w:val="00D019CE"/>
    <w:rsid w:val="00D1133E"/>
    <w:rsid w:val="00D17A34"/>
    <w:rsid w:val="00D26628"/>
    <w:rsid w:val="00D332B3"/>
    <w:rsid w:val="00D55207"/>
    <w:rsid w:val="00D62AC9"/>
    <w:rsid w:val="00D81801"/>
    <w:rsid w:val="00D92B45"/>
    <w:rsid w:val="00D95962"/>
    <w:rsid w:val="00DB5FD5"/>
    <w:rsid w:val="00DC389B"/>
    <w:rsid w:val="00DD0ADC"/>
    <w:rsid w:val="00DE2FEE"/>
    <w:rsid w:val="00DF1467"/>
    <w:rsid w:val="00DF25EC"/>
    <w:rsid w:val="00DF52FE"/>
    <w:rsid w:val="00E00BE9"/>
    <w:rsid w:val="00E22A11"/>
    <w:rsid w:val="00E31E5C"/>
    <w:rsid w:val="00E44DD2"/>
    <w:rsid w:val="00E558C3"/>
    <w:rsid w:val="00E55927"/>
    <w:rsid w:val="00E60540"/>
    <w:rsid w:val="00E77122"/>
    <w:rsid w:val="00E912A6"/>
    <w:rsid w:val="00EA4844"/>
    <w:rsid w:val="00EA4D9C"/>
    <w:rsid w:val="00EA5A97"/>
    <w:rsid w:val="00EB2248"/>
    <w:rsid w:val="00EB276E"/>
    <w:rsid w:val="00EB75EE"/>
    <w:rsid w:val="00ED6968"/>
    <w:rsid w:val="00EE3CC5"/>
    <w:rsid w:val="00EE4C1D"/>
    <w:rsid w:val="00EF3685"/>
    <w:rsid w:val="00F04350"/>
    <w:rsid w:val="00F12B0D"/>
    <w:rsid w:val="00F133DB"/>
    <w:rsid w:val="00F159EB"/>
    <w:rsid w:val="00F25BF4"/>
    <w:rsid w:val="00F267DB"/>
    <w:rsid w:val="00F27073"/>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link w:val="ListParagraphChar"/>
    <w:uiPriority w:val="1"/>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ListParagraphChar">
    <w:name w:val="List Paragraph Char"/>
    <w:basedOn w:val="DefaultParagraphFont"/>
    <w:link w:val="ListParagraph"/>
    <w:uiPriority w:val="1"/>
    <w:rsid w:val="004A6751"/>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78C70B1E-BD65-47CE-9B84-E96D80B2DB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3.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4.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1022</Words>
  <Characters>6272</Characters>
  <Application>Microsoft Office Word</Application>
  <DocSecurity>0</DocSecurity>
  <Lines>169</Lines>
  <Paragraphs>70</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8</cp:revision>
  <dcterms:created xsi:type="dcterms:W3CDTF">2025-02-17T02:20:00Z</dcterms:created>
  <dcterms:modified xsi:type="dcterms:W3CDTF">2025-03-07T11:55:00Z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